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sz w:val="52"/>
          <w:szCs w:val="52"/>
          <w:rtl w:val="0"/>
        </w:rPr>
        <w:t xml:space="preserve">William Richards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rtl w:val="0"/>
        </w:rPr>
        <w:t xml:space="preserve">Senior Front-End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6b7280"/>
          <w:sz w:val="20"/>
          <w:szCs w:val="20"/>
          <w:rtl w:val="0"/>
        </w:rPr>
        <w:t xml:space="preserve">richardsw2017@gmail.com  ·  (801) 755-8538  ·  </w:t>
      </w:r>
      <w:hyperlink r:id="rId6">
        <w:r w:rsidDel="00000000" w:rsidR="00000000" w:rsidRPr="00000000">
          <w:rPr>
            <w:color w:val="1a56db"/>
            <w:sz w:val="20"/>
            <w:szCs w:val="20"/>
            <w:u w:val="single"/>
            <w:rtl w:val="0"/>
          </w:rPr>
          <w:t xml:space="preserve">linkedin.com/in/richardsw</w:t>
        </w:r>
      </w:hyperlink>
      <w:r w:rsidDel="00000000" w:rsidR="00000000" w:rsidRPr="00000000">
        <w:rPr>
          <w:color w:val="6b7280"/>
          <w:sz w:val="20"/>
          <w:szCs w:val="20"/>
          <w:rtl w:val="0"/>
        </w:rPr>
        <w:t xml:space="preserve">  ·  </w:t>
      </w:r>
      <w:hyperlink r:id="rId7">
        <w:r w:rsidDel="00000000" w:rsidR="00000000" w:rsidRPr="00000000">
          <w:rPr>
            <w:color w:val="1a56db"/>
            <w:sz w:val="20"/>
            <w:szCs w:val="20"/>
            <w:u w:val="single"/>
            <w:rtl w:val="0"/>
          </w:rPr>
          <w:t xml:space="preserve">willrichards.dev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4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Senior Front-End Engineer with 9 years of experience, 7 in front-end, including 5 years delivering enterprise-grade web applications for Fortune 100 clients at ModelOp. Expert in Angular, TypeScript, and modern front-end architecture with a full-stack perspective spanning Python SDKs, automated testing infrastructure, and cloud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7760"/>
        <w:tblGridChange w:id="0">
          <w:tblGrid>
            <w:gridCol w:w="1600"/>
            <w:gridCol w:w="7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TypeScript, JavaScript (ES6+), Python 3, C++11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Frameworks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Angular 17+, React, Vue, Node.js, RxJS, NgRx, Redux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Styling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SCSS, Tailwind CSS, Material Design, Design Tokens, Figma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Vitest, Jasmine, Jest, Selenium, Playwright, Lighthouse, Axe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Tools &amp; Cloud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Git, Webpack, Vite, Docker, AWS, ESLint, D3.js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Standards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WCAG 2.2 AA, Atomic Design, Component-Driven Dev, Agile / Scrum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Senior Front-End Engineer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·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ModelOp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Apr 2021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Delivered enterprise features end-to-end for Fortune 100 clients using Angular 17+, TypeScript, RxJS, NgRx, and SCSS, applying Atomic Design to maintain zero critical regressions across major releases.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Redesigned the UI for WCAG 2.2 AA compliance and 320px responsiveness, integrating Lazy Loading and Tree Shaking to reduce initial load time by 40% and bundle size by 60%.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Introduced Tailwind CSS and a token-based design system (SCSS + Figma Tokens Studio) across a 5-engineer front-end team, standardizing styling conventions and eliminating a class of style-related bugs.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Expanded scope beyond front-end to build reusable test automation infrastructure: extended the Python SDK to expose key REST API endpoints and automated 20 of 400 manual regression tests using pytest and Selenium, accelerating future coverage.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Engineered RESTful APIs with Spring Boot and Spring Data JPA; collaborated across Java microservices and Docker/Kubernetes to diagnose and resolve production issues full-stack.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Refactored change detection to a zoneless, signal-based architecture, eliminating Zone.js overhead and reducing unnecessary CD cycles; measured runtime improvements via Lighthouse, yielding meaningful reductions in Total Blocking Time (TBT).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Drove adoption of Chart.js, Angular 17, and AI development tooling by presenting technical roadmaps to the Director of UI/UX, VP of Product, and 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Web Developer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·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University of Utah – Dept. of Human Genetics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May 2019 – Dec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Built a genomic pedigree visualization platform with Vue, D3, and Node.js; leveraged Vuex, Web Workers, and OffscreenCanvas for high-interactivity rendering.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Standardized reusable Vuetify components with Atomic Design and global state, reducing UI bugs across enterprise applications.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Deployed in a secure AWS environment using OAuth 2.0, CloudFormation, and IAM policies for consistent, auditable provisioning.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Software Developer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·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University of Utah – Dept. of Human Genetics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Jun 2017 – Apr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Refactored genomic variant-detection pipelines in C++11/CMake with parallel compilation, achieving a 10× build-time reduction via Snakemake integration.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Built high-throughput ALU detection tools using FASTAHACK, MINIMAP2, and lock-free hash tables with multithreading.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Trained TensorFlow CNN classifiers to detect tissue contamination in xenograft genomic data, achieving 92% accuracy for downstream oncological research.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right" w:leader="none" w:pos="9360"/>
        </w:tabs>
        <w:spacing w:before="60" w:line="240" w:lineRule="auto"/>
        <w:rPr>
          <w:rFonts w:ascii="Calibri" w:cs="Calibri" w:eastAsia="Calibri" w:hAnsi="Calibri"/>
          <w:b w:val="1"/>
          <w:bCs w:val="1"/>
          <w:color w:val="3d85cc"/>
          <w:sz w:val="48"/>
          <w:szCs w:val="48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Bachelor of Arts, Computer Science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·  Carleton College, Northfield, MN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2013 –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right" w:leader="none" w:pos="9360"/>
        </w:tabs>
        <w:spacing w:before="60" w:line="240" w:lineRule="auto"/>
        <w:rPr>
          <w:b w:val="1"/>
          <w:bCs w:val="1"/>
          <w:color w:val="111827"/>
          <w:sz w:val="52"/>
          <w:szCs w:val="5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0" w:top="629.3700000000001" w:left="1077.3" w:right="1077.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▸"/>
      <w:lvlJc w:val="left"/>
      <w:pPr>
        <w:ind w:left="360" w:hanging="2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inkedin.com/in/richardsw" TargetMode="External"/><Relationship Id="rId7" Type="http://schemas.openxmlformats.org/officeDocument/2006/relationships/hyperlink" Target="https://willrichards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