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ESTADO DEL ARTE Y GAP CIENTÍFICO</w:t>
      </w:r>
    </w:p>
    <w:p>
      <w:pPr>
        <w:spacing w:after="300"/>
        <w:jc w:val="center"/>
      </w:pPr>
      <w:r>
        <w:rPr>
          <w:color w:val="2E74B5"/>
          <w:sz w:val="24"/>
          <w:szCs w:val="24"/>
        </w:rPr>
        <w:t xml:space="preserve">Sprint 1 · Gate G1A puntos 3 y 4 · Revisión focalizada de literatura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CIMPS (base) · Carvalho et al. (2026) · Tsoukalas et al. (2024)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Línea de investigación: Ruta B — hotspots y contexto de commits / issues / PRs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Estudiante: William Tehuatle Sosa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Alcance de la revisión</w:t>
      </w:r>
    </w:p>
    <w:p>
      <w:pPr>
        <w:spacing w:after="120" w:line="276"/>
      </w:pPr>
      <w:r>
        <w:rPr>
          <w:sz w:val="22"/>
          <w:szCs w:val="22"/>
        </w:rPr>
        <w:t xml:space="preserve">Esta revisión focaliza tres trabajos: el artículo </w:t>
      </w:r>
      <w:r>
        <w:rPr>
          <w:b/>
          <w:bCs/>
          <w:sz w:val="22"/>
          <w:szCs w:val="22"/>
        </w:rPr>
        <w:t xml:space="preserve">CIMPS</w:t>
      </w:r>
      <w:r>
        <w:rPr>
          <w:sz w:val="22"/>
          <w:szCs w:val="22"/>
        </w:rPr>
        <w:t xml:space="preserve"> (antecedente base del proyecto), </w:t>
      </w:r>
      <w:r>
        <w:rPr>
          <w:b/>
          <w:bCs/>
          <w:sz w:val="22"/>
          <w:szCs w:val="22"/>
        </w:rPr>
        <w:t xml:space="preserve">Carvalho et al. (2026)</w:t>
      </w:r>
      <w:r>
        <w:rPr>
          <w:sz w:val="22"/>
          <w:szCs w:val="22"/>
        </w:rPr>
        <w:t xml:space="preserve"> (estado del arte de la gestión de deuda técnica en ingeniería de software continua) y </w:t>
      </w:r>
      <w:r>
        <w:rPr>
          <w:b/>
          <w:bCs/>
          <w:sz w:val="22"/>
          <w:szCs w:val="22"/>
        </w:rPr>
        <w:t xml:space="preserve">Tsoukalas et al. (2024)</w:t>
      </w:r>
      <w:r>
        <w:rPr>
          <w:sz w:val="22"/>
          <w:szCs w:val="22"/>
        </w:rPr>
        <w:t xml:space="preserve">, el trabajo más cercano a nuestra línea. Para cada uno se registra problema, datos, unidad de análisis, método, resultado, limitación y su relación con nuestro proyecto, y se identifica qué parte ya fue estudiada (colisión) para no presentarla como nueva.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Fichas por trabajo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2.1 Artículo CIMPS (antecedente base)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9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Problema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Medir/caracterizar la deuda técnica de código en proyectos Java OSS mediante análisis estático trazable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Unidad de análisis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proyecto, en un único momento (un snapshot por proyecto)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Datos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 proyectos Java OSS; 16 métricas de SonarQube normalizadas por KLOC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Método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Análisis estático descriptivo; comparación de métricas entre proyectos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Resultado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 rating agregado (sqale_rating) no diferencia proyectos; las métricas normalizadas sí varían mucho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Limitación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Transversal (una foto), descriptivo, no causal, n = 8; no observa evolución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Relación con el proyecto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 la base: aporta corpus, métricas y metodología de partida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Colisión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 medición estática de deuda en un snapshot ya está hecha: no la presentamos como nueva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2.2 Carvalho et al. (2026) — Estado del arte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9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Problema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Sintetizar el estado del arte y la agenda de investigación de la gestión de deuda técnica en ingeniería de software continua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Unidad de análisis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 literatura (estudio secundario / revisión)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Datos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Corpus de trabajos primarios sobre gestión de deuda técnica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Método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Revisión del estado del arte + agenda de investigación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Resultado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Mapa de enfoques y huecos abiertos en la gestión de deuda técnica continua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Limitación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produce datos empíricos propios; es marco, no experimento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Relación con el proyecto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Sitúa nuestra pregunta dentro de la agenda abierta y justifica el enfoque longitudinal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Colisión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Ninguna directa: es contexto, no un método que compita con el nuestro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2.3 Tsoukalas et al. (2024) — el trabajo más cercano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9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Problema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Priorizar deuda técnica considerando no solo su estado actual sino su evolución futura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Unidad de análisis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 clase (fina), a lo largo de la historia del software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Datos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proyectos Java OSS; ~150 snapshots semanales por proyecto; SonarQube + métricas C&amp;K (16 métricas)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Método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Change-proneness + forecasting (regresión lineal, lasso, ridge, SVR, random forest) con ventana deslizante y validación walk-forward; visualización en mapa de calor; validación con JIRA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Resultado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 deuda a nivel de clase es predecible; modelos lineales regularizados para corto plazo, random forest para largo plazo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Limitación (declaradas por los autores)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 herramienta NO rastrea clases renombradas (las trata como nuevas); solo rama master; los merges pueden inflar indicadores; snapshots semanales fijos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Relación con el proyecto</w:t>
            </w:r>
          </w:p>
        </w:tc>
        <w:tc>
          <w:tcPr>
            <w:tcW w:type="dxa" w:w="6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 el antecedente más directo de la parte longitudinal y de la idea de cambio futuro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Colisión</w:t>
            </w:r>
          </w:p>
        </w:tc>
        <w:tc>
          <w:tcPr>
            <w:tcW w:type="dxa" w:w="69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 cubre: deuda a nivel de clase en el tiempo, change-proneness, forecasting y priorización, validación con JIRA. No debemos presentar eso como nuevo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Matriz comparativa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1650"/>
        <w:gridCol w:w="2250"/>
        <w:gridCol w:w="30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165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CIMPS</w:t>
            </w:r>
          </w:p>
        </w:tc>
        <w:tc>
          <w:tcPr>
            <w:tcW w:type="dxa" w:w="225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Tsoukalas 2024</w:t>
            </w:r>
          </w:p>
        </w:tc>
        <w:tc>
          <w:tcPr>
            <w:tcW w:type="dxa" w:w="3000"/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Nuestro proyecto (Ruta B)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Temporalidad</w:t>
            </w:r>
          </w:p>
        </w:tc>
        <w:tc>
          <w:tcPr>
            <w:tcW w:type="dxa" w:w="1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 snapshot</w:t>
            </w:r>
          </w:p>
        </w:tc>
        <w:tc>
          <w:tcPr>
            <w:tcW w:type="dxa" w:w="2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Serie semanal (~150)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Serie por releases (T0…Tn)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Unidad</w:t>
            </w:r>
          </w:p>
        </w:tc>
        <w:tc>
          <w:tcPr>
            <w:tcW w:type="dxa" w:w="165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Proyecto</w:t>
            </w:r>
          </w:p>
        </w:tc>
        <w:tc>
          <w:tcPr>
            <w:tcW w:type="dxa" w:w="225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Clase</w:t>
            </w:r>
          </w:p>
        </w:tc>
        <w:tc>
          <w:tcPr>
            <w:tcW w:type="dxa" w:w="30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Archivo (artefacto)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Identidad ante rename/move</w:t>
            </w:r>
          </w:p>
        </w:tc>
        <w:tc>
          <w:tcPr>
            <w:tcW w:type="dxa" w:w="1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aplica</w:t>
            </w:r>
          </w:p>
        </w:tc>
        <w:tc>
          <w:tcPr>
            <w:tcW w:type="dxa" w:w="2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la maneja (limitación admitida)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Sí: git --follow + R100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Eventos de refactoring</w:t>
            </w:r>
          </w:p>
        </w:tc>
        <w:tc>
          <w:tcPr>
            <w:tcW w:type="dxa" w:w="165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5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Sí: RefactoringMiner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Contexto (issues/PR/commits)</w:t>
            </w:r>
          </w:p>
        </w:tc>
        <w:tc>
          <w:tcPr>
            <w:tcW w:type="dxa" w:w="1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2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Solo validación con JIRA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Sí, como fuente de contexto</w:t>
            </w:r>
          </w:p>
        </w:tc>
      </w:tr>
      <w:tr>
        <w:tc>
          <w:tcPr>
            <w:tcW w:type="dxa" w:w="21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Control de fuga temporal</w:t>
            </w:r>
          </w:p>
        </w:tc>
        <w:tc>
          <w:tcPr>
            <w:tcW w:type="dxa" w:w="165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aplica</w:t>
            </w:r>
          </w:p>
        </w:tc>
        <w:tc>
          <w:tcPr>
            <w:tcW w:type="dxa" w:w="225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Walk-forward</w:t>
            </w:r>
          </w:p>
        </w:tc>
        <w:tc>
          <w:tcPr>
            <w:tcW w:type="dxa" w:w="3000"/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Explícito (leakage ledger)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Objetivo</w:t>
            </w:r>
          </w:p>
        </w:tc>
        <w:tc>
          <w:tcPr>
            <w:tcW w:type="dxa" w:w="1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Describir deuda</w:t>
            </w:r>
          </w:p>
        </w:tc>
        <w:tc>
          <w:tcPr>
            <w:tcW w:type="dxa" w:w="2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Predecir/priorizar deuda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Comprobar factibilidad longitudinal trazable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Gap científico</w:t>
      </w:r>
    </w:p>
    <w:p>
      <w:pPr>
        <w:spacing w:after="120" w:line="276"/>
      </w:pPr>
      <w:r>
        <w:rPr>
          <w:sz w:val="22"/>
          <w:szCs w:val="22"/>
        </w:rPr>
        <w:t xml:space="preserve">Siguiendo el esquema </w:t>
      </w:r>
      <w:r>
        <w:rPr>
          <w:b/>
          <w:bCs/>
          <w:sz w:val="22"/>
          <w:szCs w:val="22"/>
        </w:rPr>
        <w:t xml:space="preserve">prior work → limitation → gap → contribution</w:t>
      </w:r>
      <w:r>
        <w:rPr>
          <w:sz w:val="22"/>
          <w:szCs w:val="22"/>
        </w:rPr>
        <w:t xml:space="preserve">: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Prior work (lo que ya existe)</w:t>
      </w:r>
    </w:p>
    <w:p>
      <w:pPr>
        <w:spacing w:after="120" w:line="276"/>
      </w:pPr>
      <w:r>
        <w:rPr>
          <w:sz w:val="22"/>
          <w:szCs w:val="22"/>
        </w:rPr>
        <w:t xml:space="preserve">Tsoukalas et al. demuestran que la deuda técnica a nivel de clase puede seguirse en el tiempo y predecirse para priorizar refactorizaciones, usando snapshots periódicos, change-proneness y forecasting. CIMPS aporta la medición estática de deuda en un snapshot.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Limitation (lo que queda sin resolver)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Los propios autores de Tsoukalas reconocen que su instrumentación </w:t>
      </w:r>
      <w:r>
        <w:rPr>
          <w:b/>
          <w:bCs/>
          <w:sz w:val="22"/>
          <w:szCs w:val="22"/>
        </w:rPr>
        <w:t xml:space="preserve">no rastrea las clases renombradas</w:t>
      </w:r>
      <w:r>
        <w:rPr>
          <w:sz w:val="22"/>
          <w:szCs w:val="22"/>
        </w:rPr>
        <w:t xml:space="preserve">: los artefactos que cambian de nombre o ubicación </w:t>
      </w:r>
      <w:r>
        <w:rPr>
          <w:i/>
          <w:iCs/>
          <w:sz w:val="22"/>
          <w:szCs w:val="22"/>
        </w:rPr>
        <w:t xml:space="preserve">se tratan como nuevos</w:t>
      </w:r>
      <w:r>
        <w:rPr>
          <w:sz w:val="22"/>
          <w:szCs w:val="22"/>
        </w:rPr>
        <w:t xml:space="preserve">, perdiendo su identidad histórica.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análisis se limita a la rama master y </w:t>
      </w:r>
      <w:r>
        <w:rPr>
          <w:b/>
          <w:bCs/>
          <w:sz w:val="22"/>
          <w:szCs w:val="22"/>
        </w:rPr>
        <w:t xml:space="preserve">los merges pueden inflar los indicadores</w:t>
      </w:r>
      <w:r>
        <w:rPr>
          <w:sz w:val="22"/>
          <w:szCs w:val="22"/>
        </w:rPr>
        <w:t xml:space="preserve">, sin un control explícito de esa contaminación.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No se aprovechan los </w:t>
      </w:r>
      <w:r>
        <w:rPr>
          <w:b/>
          <w:bCs/>
          <w:sz w:val="22"/>
          <w:szCs w:val="22"/>
        </w:rPr>
        <w:t xml:space="preserve">eventos de refactoring</w:t>
      </w:r>
      <w:r>
        <w:rPr>
          <w:sz w:val="22"/>
          <w:szCs w:val="22"/>
        </w:rPr>
        <w:t xml:space="preserve"> (detectables con herramientas como RefactoringMiner) ni el </w:t>
      </w:r>
      <w:r>
        <w:rPr>
          <w:b/>
          <w:bCs/>
          <w:sz w:val="22"/>
          <w:szCs w:val="22"/>
        </w:rPr>
        <w:t xml:space="preserve">contexto de commits, issues y pull requests</w:t>
      </w:r>
      <w:r>
        <w:rPr>
          <w:sz w:val="22"/>
          <w:szCs w:val="22"/>
        </w:rPr>
        <w:t xml:space="preserve"> como señal de evolución.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CIMPS, por su parte, </w:t>
      </w:r>
      <w:r>
        <w:rPr>
          <w:b/>
          <w:bCs/>
          <w:sz w:val="22"/>
          <w:szCs w:val="22"/>
        </w:rPr>
        <w:t xml:space="preserve">no observa evolución</w:t>
      </w:r>
      <w:r>
        <w:rPr>
          <w:sz w:val="22"/>
          <w:szCs w:val="22"/>
        </w:rPr>
        <w:t xml:space="preserve">: es un único snapshot.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Gap (el hueco preciso)</w:t>
      </w:r>
    </w:p>
    <w:p>
      <w:pPr>
        <w:pBdr>
          <w:top w:val="single" w:color="2E74B5" w:sz="6" w:space="4"/>
          <w:bottom w:val="single" w:color="2E74B5" w:sz="6" w:space="4"/>
          <w:left w:val="single" w:color="2E74B5" w:sz="24" w:space="8"/>
          <w:right w:val="single" w:color="2E74B5" w:sz="6" w:space="4"/>
        </w:pBdr>
        <w:shd w:fill="FBFBF7" w:val="clear"/>
        <w:spacing w:after="0" w:before="40" w:line="264"/>
      </w:pPr>
      <w:r>
        <w:rPr>
          <w:b/>
          <w:bCs/>
          <w:color w:val="2E74B5"/>
          <w:sz w:val="21"/>
          <w:szCs w:val="21"/>
        </w:rPr>
        <w:t xml:space="preserve">Formulación del gap</w:t>
      </w:r>
    </w:p>
    <w:p>
      <w:pPr>
        <w:pBdr>
          <w:bottom w:val="single" w:color="2E74B5" w:sz="6" w:space="4"/>
          <w:left w:val="single" w:color="2E74B5" w:sz="24" w:space="8"/>
          <w:right w:val="single" w:color="2E74B5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Antes de predecir o priorizar deuda técnica de forma longitudinal, falta comprobar que se puede </w:t>
      </w:r>
      <w:r>
        <w:rPr>
          <w:b/>
          <w:bCs/>
          <w:sz w:val="22"/>
          <w:szCs w:val="22"/>
        </w:rPr>
        <w:t xml:space="preserve">reconstruir de manera trazable la evolución de los artefactos a través del tiempo</w:t>
      </w:r>
      <w:r>
        <w:rPr>
          <w:sz w:val="22"/>
          <w:szCs w:val="22"/>
        </w:rPr>
        <w:t xml:space="preserve"> — preservando su identidad ante renames y movimientos, distinguiendo eventos globales de actividad individual, incorporando eventos de refactoring y su contexto (issues/PR), y garantizando la ausencia de fuga temporal. Esa base de </w:t>
      </w:r>
      <w:r>
        <w:rPr>
          <w:b/>
          <w:bCs/>
          <w:sz w:val="22"/>
          <w:szCs w:val="22"/>
        </w:rPr>
        <w:t xml:space="preserve">trazabilidad e integridad temporal</w:t>
      </w:r>
      <w:r>
        <w:rPr>
          <w:sz w:val="22"/>
          <w:szCs w:val="22"/>
        </w:rPr>
        <w:t xml:space="preserve"> no está resuelta en los trabajos previos, y es requisito para que cualquier estudio predictivo posterior sea válido.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Proposed contribution (lo que aporta nuestro proyecto)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Identidad trazable del artefacto:</w:t>
      </w:r>
      <w:r>
        <w:rPr>
          <w:sz w:val="22"/>
          <w:szCs w:val="22"/>
        </w:rPr>
        <w:t xml:space="preserve"> seguimiento con git --follow y evidencia R100, resolviendo la limitación de renames que Tsoukalas admite.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Distinción de eventos globales vs. individuales:</w:t>
      </w:r>
      <w:r>
        <w:rPr>
          <w:sz w:val="22"/>
          <w:szCs w:val="22"/>
        </w:rPr>
        <w:t xml:space="preserve"> detección de migraciones y commits masivos (p.ej. cambio de licencia en 511 archivos) que contaminan métricas.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Incorporación de eventos de refactoring:</w:t>
      </w:r>
      <w:r>
        <w:rPr>
          <w:sz w:val="22"/>
          <w:szCs w:val="22"/>
        </w:rPr>
        <w:t xml:space="preserve"> RefactoringMiner sobre intervalos acotados, sin equiparar refactoring con pago de deuda.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Contexto de commits/issues/PR (Ruta B):</w:t>
      </w:r>
      <w:r>
        <w:rPr>
          <w:sz w:val="22"/>
          <w:szCs w:val="22"/>
        </w:rPr>
        <w:t xml:space="preserve"> el porqué del cambio, rastreable hasta el issue tracker (JIRA/GitHub).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Control explícito de fuga temporal:</w:t>
      </w:r>
      <w:r>
        <w:rPr>
          <w:sz w:val="22"/>
          <w:szCs w:val="22"/>
        </w:rPr>
        <w:t xml:space="preserve"> leakage ledger y separación temporal por diseño.</w:t>
      </w:r>
    </w:p>
    <w:p>
      <w:pPr>
        <w:pBdr>
          <w:top w:val="single" w:color="1E7145" w:sz="6" w:space="4"/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0" w:before="40" w:line="264"/>
      </w:pPr>
      <w:r>
        <w:rPr>
          <w:b/>
          <w:bCs/>
          <w:color w:val="1E7145"/>
          <w:sz w:val="21"/>
          <w:szCs w:val="21"/>
        </w:rPr>
        <w:t xml:space="preserve">Por qué NO es una repetición de CIMPS ni de Tsoukalas</w:t>
      </w:r>
    </w:p>
    <w:p>
      <w:pPr>
        <w:pBdr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CIMPS es un snapshot; nosotros observamos evolución. Tsoukalas predice deuda a nivel de clase pero </w:t>
      </w:r>
      <w:r>
        <w:rPr>
          <w:b/>
          <w:bCs/>
          <w:sz w:val="22"/>
          <w:szCs w:val="22"/>
        </w:rPr>
        <w:t xml:space="preserve">admite no manejar la identidad de artefactos ante renames</w:t>
      </w:r>
      <w:r>
        <w:rPr>
          <w:sz w:val="22"/>
          <w:szCs w:val="22"/>
        </w:rPr>
        <w:t xml:space="preserve"> y no usa eventos de refactoring ni contexto de issues/PR como señal. Nuestro proyecto se concentra precisamente en esa base de trazabilidad e integridad temporal que ellos no resuelven, como paso previo y necesario a cualquier estudio predictivo.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Pregunta de investigación derivada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Pregunta:</w:t>
      </w:r>
      <w:r>
        <w:rPr>
          <w:sz w:val="22"/>
          <w:szCs w:val="22"/>
        </w:rPr>
        <w:t xml:space="preserve"> ¿Es posible reconstruir de manera trazable y sin fuga temporal la evolución a nivel de archivo de proyectos Java OSS —preservando la identidad de los artefactos ante renames/movimientos e incorporando eventos de refactoring y su contexto de issues/PR— de modo que se establezca una base válida para un futuro estudio de priorización de deuda técnica?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Conocimiento nuevo que produce:</w:t>
      </w:r>
      <w:r>
        <w:rPr>
          <w:sz w:val="22"/>
          <w:szCs w:val="22"/>
        </w:rPr>
        <w:t xml:space="preserve"> un procedimiento verificable de construcción de datos longitudinales trazables a nivel de artefacto, con control de identidad, de eventos globales y de temporalidad, que los antecedentes (CIMPS, Tsoukalas) no ofrecen y que condiciona la validez de cualquier modelo predictivo posterior.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arte y gap científico — Sprint 1</dc:title>
  <dc:creator>Estado del arte y gap</dc:creator>
  <cp:lastModifiedBy>Un-named</cp:lastModifiedBy>
  <cp:revision>1</cp:revision>
  <dcterms:created xsi:type="dcterms:W3CDTF">2026-09-26T22:09:26.880Z</dcterms:created>
  <dcterms:modified xsi:type="dcterms:W3CDTF">2026-09-26T22:09:26.888Z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