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60"/>
        <w:jc w:val="center"/>
      </w:pPr>
      <w:r>
        <w:rPr>
          <w:b/>
          <w:bCs/>
          <w:color w:val="1F4E79"/>
          <w:sz w:val="40"/>
          <w:szCs w:val="40"/>
        </w:rPr>
        <w:t xml:space="preserve">ANÁLISIS DEL DATASET DE EVOLUCIÓN</w:t>
      </w:r>
    </w:p>
    <w:p>
      <w:pPr>
        <w:spacing w:after="300"/>
        <w:jc w:val="center"/>
      </w:pPr>
      <w:r>
        <w:rPr>
          <w:color w:val="2E74B5"/>
          <w:sz w:val="26"/>
          <w:szCs w:val="26"/>
        </w:rPr>
        <w:t xml:space="preserve">Sprint 1 · D3 · Proyecto piloto: commons-lang</w:t>
      </w:r>
    </w:p>
    <w:p>
      <w:pPr>
        <w:spacing w:after="40"/>
        <w:jc w:val="center"/>
      </w:pPr>
      <w:r>
        <w:rPr>
          <w:color w:val="595959"/>
          <w:sz w:val="22"/>
          <w:szCs w:val="22"/>
        </w:rPr>
        <w:t xml:space="preserve">30 archivos Java · decision_time = 2025-11-12 (snapshot CIMPS 3.20.0)</w:t>
      </w:r>
    </w:p>
    <w:p>
      <w:pPr>
        <w:spacing w:after="40"/>
        <w:jc w:val="center"/>
      </w:pPr>
      <w:r>
        <w:rPr>
          <w:i/>
          <w:iCs/>
          <w:color w:val="595959"/>
          <w:sz w:val="22"/>
          <w:szCs w:val="22"/>
        </w:rPr>
        <w:t xml:space="preserve">Ruta B — Hotspots y contexto de commits / issues / PRs</w:t>
      </w:r>
    </w:p>
    <w:p>
      <w:pPr>
        <w:spacing w:before="500"/>
        <w:jc w:val="center"/>
      </w:pPr>
      <w:r>
        <w:rPr>
          <w:color w:val="595959"/>
          <w:sz w:val="22"/>
          <w:szCs w:val="22"/>
        </w:rPr>
        <w:t xml:space="preserve">Estudiante: William Tehuatle Sosa</w:t>
      </w:r>
    </w:p>
    <w:p>
      <w:r>
        <w:br w:type="page"/>
      </w:r>
    </w:p>
    <w:p>
      <w:pPr>
        <w:pStyle w:val="Heading1"/>
        <w:spacing w:after="140" w:before="320"/>
      </w:pPr>
      <w:r>
        <w:rPr>
          <w:b/>
          <w:bCs/>
          <w:color w:val="1F4E79"/>
          <w:sz w:val="30"/>
          <w:szCs w:val="30"/>
        </w:rPr>
        <w:t xml:space="preserve">Resumen</w:t>
      </w:r>
    </w:p>
    <w:p>
      <w:pPr>
        <w:spacing w:after="120" w:line="276"/>
      </w:pPr>
      <w:r>
        <w:rPr>
          <w:sz w:val="22"/>
          <w:szCs w:val="22"/>
        </w:rPr>
        <w:t xml:space="preserve">Este documento analiza el primer dataset de evolución construido en D3: 30 archivos Java del proyecto piloto commons-lang, con seis métricas históricas calculadas usando exclusivamente información anterior al </w:t>
      </w:r>
      <w:r>
        <w:rPr>
          <w:b/>
          <w:bCs/>
          <w:sz w:val="22"/>
          <w:szCs w:val="22"/>
        </w:rPr>
        <w:t xml:space="preserve">decision_time (2025-11-12)</w:t>
      </w:r>
      <w:r>
        <w:rPr>
          <w:sz w:val="22"/>
          <w:szCs w:val="22"/>
        </w:rPr>
        <w:t xml:space="preserve">, la fecha del snapshot que analizó el estudio CIMPS. Todos los cálculos respetan la regla temporal </w:t>
      </w:r>
      <w:r>
        <w:rPr>
          <w:b/>
          <w:bCs/>
          <w:sz w:val="22"/>
          <w:szCs w:val="22"/>
        </w:rPr>
        <w:t xml:space="preserve">feature_timestamp ≤ decision_time</w:t>
      </w:r>
      <w:r>
        <w:rPr>
          <w:sz w:val="22"/>
          <w:szCs w:val="22"/>
        </w:rPr>
        <w:t xml:space="preserve">, de modo que ninguna métrica utiliza información del futuro.</w:t>
      </w:r>
    </w:p>
    <w:p>
      <w:pPr>
        <w:spacing w:after="120" w:line="276"/>
      </w:pPr>
      <w:r>
        <w:rPr>
          <w:sz w:val="22"/>
          <w:szCs w:val="22"/>
        </w:rPr>
        <w:t xml:space="preserve">El análisis arroja cuatro hallazgos: (1) la muestra estratificada separa nítidamente hotspots, archivos medios y tranquilos; (2) el número de commits y el número de colaboradores están casi perfectamente correlacionados; (3) el churn se concentra de forma extrema en unos pocos archivos; y (4) existe un evento global del proyecto que contamina una de las métricas y que un estudio futuro deberá tratar con cuidado.</w:t>
      </w:r>
    </w:p>
    <w:p>
      <w:pPr>
        <w:pStyle w:val="Heading1"/>
        <w:spacing w:after="140" w:before="320"/>
      </w:pPr>
      <w:r>
        <w:rPr>
          <w:b/>
          <w:bCs/>
          <w:color w:val="1F4E79"/>
          <w:sz w:val="30"/>
          <w:szCs w:val="30"/>
        </w:rPr>
        <w:t xml:space="preserve">Hallazgo 1 — La estratificación separa tres regímenes de actividad</w:t>
      </w:r>
    </w:p>
    <w:p>
      <w:pPr>
        <w:spacing w:after="120" w:line="276"/>
      </w:pPr>
      <w:r>
        <w:rPr>
          <w:sz w:val="22"/>
          <w:szCs w:val="22"/>
        </w:rPr>
        <w:t xml:space="preserve">La muestra se construyó de forma estratificada (10 hotspots + 10 medios + 10 tranquilos). Los tres grupos quedaron separados por dos órdenes de magnitud, lo que confirma que el dataset ofrece el contraste necesario para estudiar hotspots:</w:t>
      </w:r>
    </w:p>
    <w:tbl>
      <w:tblPr>
        <w:tblW w:type="dxa" w:w="9000"/>
        <w:tblBorders>
          <w:top w:val="single" w:color="BBBBBB" w:sz="4"/>
          <w:left w:val="single" w:color="BBBBBB" w:sz="4"/>
          <w:bottom w:val="single" w:color="BBBBBB" w:sz="4"/>
          <w:right w:val="single" w:color="BBBBBB" w:sz="4"/>
          <w:insideH w:val="single" w:color="DDDDDD" w:sz="4"/>
          <w:insideV w:val="single" w:color="DDDDDD" w:sz="4"/>
        </w:tblBorders>
      </w:tblPr>
      <w:tblGrid>
        <w:gridCol w:w="3400"/>
        <w:gridCol w:w="1600"/>
        <w:gridCol w:w="2000"/>
        <w:gridCol w:w="2000"/>
      </w:tblGrid>
      <w:tr>
        <w:trPr>
          <w:tblHeader/>
        </w:trPr>
        <w:tc>
          <w:tcPr>
            <w:tcW w:type="dxa" w:w="3400"/>
            <w:shd w:fill="1F4E79" w:val="clear"/>
            <w:tcMar>
              <w:top w:type="dxa" w:w="60"/>
              <w:left w:type="dxa" w:w="90"/>
              <w:bottom w:type="dxa" w:w="60"/>
              <w:right w:type="dxa" w:w="90"/>
            </w:tcMar>
          </w:tcPr>
          <w:p>
            <w:pPr>
              <w:spacing w:after="0" w:line="250"/>
              <w:jc w:val="center"/>
            </w:pPr>
            <w:r>
              <w:rPr>
                <w:b/>
                <w:bCs/>
                <w:color w:val="FFFFFF"/>
                <w:sz w:val="18"/>
                <w:szCs w:val="18"/>
              </w:rPr>
              <w:t xml:space="preserve">Estrato</w:t>
            </w:r>
          </w:p>
        </w:tc>
        <w:tc>
          <w:tcPr>
            <w:tcW w:type="dxa" w:w="1600"/>
            <w:shd w:fill="1F4E79" w:val="clear"/>
            <w:tcMar>
              <w:top w:type="dxa" w:w="60"/>
              <w:left w:type="dxa" w:w="90"/>
              <w:bottom w:type="dxa" w:w="60"/>
              <w:right w:type="dxa" w:w="90"/>
            </w:tcMar>
          </w:tcPr>
          <w:p>
            <w:pPr>
              <w:spacing w:after="0" w:line="250"/>
              <w:jc w:val="center"/>
            </w:pPr>
            <w:r>
              <w:rPr>
                <w:b/>
                <w:bCs/>
                <w:color w:val="FFFFFF"/>
                <w:sz w:val="18"/>
                <w:szCs w:val="18"/>
              </w:rPr>
              <w:t xml:space="preserve">Archivos</w:t>
            </w:r>
          </w:p>
        </w:tc>
        <w:tc>
          <w:tcPr>
            <w:tcW w:type="dxa" w:w="2000"/>
            <w:shd w:fill="1F4E79" w:val="clear"/>
            <w:tcMar>
              <w:top w:type="dxa" w:w="60"/>
              <w:left w:type="dxa" w:w="90"/>
              <w:bottom w:type="dxa" w:w="60"/>
              <w:right w:type="dxa" w:w="90"/>
            </w:tcMar>
          </w:tcPr>
          <w:p>
            <w:pPr>
              <w:spacing w:after="0" w:line="250"/>
              <w:jc w:val="center"/>
            </w:pPr>
            <w:r>
              <w:rPr>
                <w:b/>
                <w:bCs/>
                <w:color w:val="FFFFFF"/>
                <w:sz w:val="18"/>
                <w:szCs w:val="18"/>
              </w:rPr>
              <w:t xml:space="preserve">Churn medio</w:t>
            </w:r>
          </w:p>
        </w:tc>
        <w:tc>
          <w:tcPr>
            <w:tcW w:type="dxa" w:w="2000"/>
            <w:shd w:fill="1F4E79" w:val="clear"/>
            <w:tcMar>
              <w:top w:type="dxa" w:w="60"/>
              <w:left w:type="dxa" w:w="90"/>
              <w:bottom w:type="dxa" w:w="60"/>
              <w:right w:type="dxa" w:w="90"/>
            </w:tcMar>
          </w:tcPr>
          <w:p>
            <w:pPr>
              <w:spacing w:after="0" w:line="250"/>
              <w:jc w:val="center"/>
            </w:pPr>
            <w:r>
              <w:rPr>
                <w:b/>
                <w:bCs/>
                <w:color w:val="FFFFFF"/>
                <w:sz w:val="18"/>
                <w:szCs w:val="18"/>
              </w:rPr>
              <w:t xml:space="preserve">Colaboradores medio</w:t>
            </w:r>
          </w:p>
        </w:tc>
      </w:tr>
      <w:tr>
        <w:tc>
          <w:tcPr>
            <w:tcW w:type="dxa" w:w="3400"/>
            <w:tcMar>
              <w:top w:type="dxa" w:w="60"/>
              <w:left w:type="dxa" w:w="90"/>
              <w:bottom w:type="dxa" w:w="60"/>
              <w:right w:type="dxa" w:w="90"/>
            </w:tcMar>
          </w:tcPr>
          <w:p>
            <w:pPr>
              <w:spacing w:after="0" w:line="250"/>
              <w:jc w:val="left"/>
            </w:pPr>
            <w:r>
              <w:rPr>
                <w:b w:val="false"/>
                <w:bCs w:val="false"/>
                <w:color w:val="000000"/>
                <w:sz w:val="18"/>
                <w:szCs w:val="18"/>
              </w:rPr>
              <w:t xml:space="preserve">Hotspots (≥100 commits)</w:t>
            </w:r>
          </w:p>
        </w:tc>
        <w:tc>
          <w:tcPr>
            <w:tcW w:type="dxa" w:w="1600"/>
            <w:tcMar>
              <w:top w:type="dxa" w:w="60"/>
              <w:left w:type="dxa" w:w="90"/>
              <w:bottom w:type="dxa" w:w="60"/>
              <w:right w:type="dxa" w:w="90"/>
            </w:tcMar>
          </w:tcPr>
          <w:p>
            <w:pPr>
              <w:spacing w:after="0" w:line="250"/>
              <w:jc w:val="center"/>
            </w:pPr>
            <w:r>
              <w:rPr>
                <w:b w:val="false"/>
                <w:bCs w:val="false"/>
                <w:color w:val="000000"/>
                <w:sz w:val="18"/>
                <w:szCs w:val="18"/>
              </w:rPr>
              <w:t xml:space="preserve">10</w:t>
            </w:r>
          </w:p>
        </w:tc>
        <w:tc>
          <w:tcPr>
            <w:tcW w:type="dxa" w:w="2000"/>
            <w:tcMar>
              <w:top w:type="dxa" w:w="60"/>
              <w:left w:type="dxa" w:w="90"/>
              <w:bottom w:type="dxa" w:w="60"/>
              <w:right w:type="dxa" w:w="90"/>
            </w:tcMar>
          </w:tcPr>
          <w:p>
            <w:pPr>
              <w:spacing w:after="0" w:line="250"/>
              <w:jc w:val="center"/>
            </w:pPr>
            <w:r>
              <w:rPr>
                <w:b w:val="false"/>
                <w:bCs w:val="false"/>
                <w:color w:val="000000"/>
                <w:sz w:val="18"/>
                <w:szCs w:val="18"/>
              </w:rPr>
              <w:t xml:space="preserve">20,868</w:t>
            </w:r>
          </w:p>
        </w:tc>
        <w:tc>
          <w:tcPr>
            <w:tcW w:type="dxa" w:w="2000"/>
            <w:tcMar>
              <w:top w:type="dxa" w:w="60"/>
              <w:left w:type="dxa" w:w="90"/>
              <w:bottom w:type="dxa" w:w="60"/>
              <w:right w:type="dxa" w:w="90"/>
            </w:tcMar>
          </w:tcPr>
          <w:p>
            <w:pPr>
              <w:spacing w:after="0" w:line="250"/>
              <w:jc w:val="center"/>
            </w:pPr>
            <w:r>
              <w:rPr>
                <w:b w:val="false"/>
                <w:bCs w:val="false"/>
                <w:color w:val="000000"/>
                <w:sz w:val="18"/>
                <w:szCs w:val="18"/>
              </w:rPr>
              <w:t xml:space="preserve">34.8</w:t>
            </w:r>
          </w:p>
        </w:tc>
      </w:tr>
      <w:tr>
        <w:tc>
          <w:tcPr>
            <w:tcW w:type="dxa" w:w="3400"/>
            <w:shd w:fill="F5F8FB" w:val="clear"/>
            <w:tcMar>
              <w:top w:type="dxa" w:w="60"/>
              <w:left w:type="dxa" w:w="90"/>
              <w:bottom w:type="dxa" w:w="60"/>
              <w:right w:type="dxa" w:w="90"/>
            </w:tcMar>
          </w:tcPr>
          <w:p>
            <w:pPr>
              <w:spacing w:after="0" w:line="250"/>
              <w:jc w:val="left"/>
            </w:pPr>
            <w:r>
              <w:rPr>
                <w:b w:val="false"/>
                <w:bCs w:val="false"/>
                <w:color w:val="000000"/>
                <w:sz w:val="18"/>
                <w:szCs w:val="18"/>
              </w:rPr>
              <w:t xml:space="preserve">Medios (10–99 commits)</w:t>
            </w:r>
          </w:p>
        </w:tc>
        <w:tc>
          <w:tcPr>
            <w:tcW w:type="dxa" w:w="1600"/>
            <w:shd w:fill="F5F8FB" w:val="clear"/>
            <w:tcMar>
              <w:top w:type="dxa" w:w="60"/>
              <w:left w:type="dxa" w:w="90"/>
              <w:bottom w:type="dxa" w:w="60"/>
              <w:right w:type="dxa" w:w="90"/>
            </w:tcMar>
          </w:tcPr>
          <w:p>
            <w:pPr>
              <w:spacing w:after="0" w:line="250"/>
              <w:jc w:val="center"/>
            </w:pPr>
            <w:r>
              <w:rPr>
                <w:b w:val="false"/>
                <w:bCs w:val="false"/>
                <w:color w:val="000000"/>
                <w:sz w:val="18"/>
                <w:szCs w:val="18"/>
              </w:rPr>
              <w:t xml:space="preserve">10</w:t>
            </w:r>
          </w:p>
        </w:tc>
        <w:tc>
          <w:tcPr>
            <w:tcW w:type="dxa" w:w="2000"/>
            <w:shd w:fill="F5F8FB" w:val="clear"/>
            <w:tcMar>
              <w:top w:type="dxa" w:w="60"/>
              <w:left w:type="dxa" w:w="90"/>
              <w:bottom w:type="dxa" w:w="60"/>
              <w:right w:type="dxa" w:w="90"/>
            </w:tcMar>
          </w:tcPr>
          <w:p>
            <w:pPr>
              <w:spacing w:after="0" w:line="250"/>
              <w:jc w:val="center"/>
            </w:pPr>
            <w:r>
              <w:rPr>
                <w:b w:val="false"/>
                <w:bCs w:val="false"/>
                <w:color w:val="000000"/>
                <w:sz w:val="18"/>
                <w:szCs w:val="18"/>
              </w:rPr>
              <w:t xml:space="preserve">625</w:t>
            </w:r>
          </w:p>
        </w:tc>
        <w:tc>
          <w:tcPr>
            <w:tcW w:type="dxa" w:w="2000"/>
            <w:shd w:fill="F5F8FB" w:val="clear"/>
            <w:tcMar>
              <w:top w:type="dxa" w:w="60"/>
              <w:left w:type="dxa" w:w="90"/>
              <w:bottom w:type="dxa" w:w="60"/>
              <w:right w:type="dxa" w:w="90"/>
            </w:tcMar>
          </w:tcPr>
          <w:p>
            <w:pPr>
              <w:spacing w:after="0" w:line="250"/>
              <w:jc w:val="center"/>
            </w:pPr>
            <w:r>
              <w:rPr>
                <w:b w:val="false"/>
                <w:bCs w:val="false"/>
                <w:color w:val="000000"/>
                <w:sz w:val="18"/>
                <w:szCs w:val="18"/>
              </w:rPr>
              <w:t xml:space="preserve">9.4</w:t>
            </w:r>
          </w:p>
        </w:tc>
      </w:tr>
      <w:tr>
        <w:tc>
          <w:tcPr>
            <w:tcW w:type="dxa" w:w="3400"/>
            <w:tcMar>
              <w:top w:type="dxa" w:w="60"/>
              <w:left w:type="dxa" w:w="90"/>
              <w:bottom w:type="dxa" w:w="60"/>
              <w:right w:type="dxa" w:w="90"/>
            </w:tcMar>
          </w:tcPr>
          <w:p>
            <w:pPr>
              <w:spacing w:after="0" w:line="250"/>
              <w:jc w:val="left"/>
            </w:pPr>
            <w:r>
              <w:rPr>
                <w:b w:val="false"/>
                <w:bCs w:val="false"/>
                <w:color w:val="000000"/>
                <w:sz w:val="18"/>
                <w:szCs w:val="18"/>
              </w:rPr>
              <w:t xml:space="preserve">Tranquilos (&lt;10 commits)</w:t>
            </w:r>
          </w:p>
        </w:tc>
        <w:tc>
          <w:tcPr>
            <w:tcW w:type="dxa" w:w="1600"/>
            <w:tcMar>
              <w:top w:type="dxa" w:w="60"/>
              <w:left w:type="dxa" w:w="90"/>
              <w:bottom w:type="dxa" w:w="60"/>
              <w:right w:type="dxa" w:w="90"/>
            </w:tcMar>
          </w:tcPr>
          <w:p>
            <w:pPr>
              <w:spacing w:after="0" w:line="250"/>
              <w:jc w:val="center"/>
            </w:pPr>
            <w:r>
              <w:rPr>
                <w:b w:val="false"/>
                <w:bCs w:val="false"/>
                <w:color w:val="000000"/>
                <w:sz w:val="18"/>
                <w:szCs w:val="18"/>
              </w:rPr>
              <w:t xml:space="preserve">10</w:t>
            </w:r>
          </w:p>
        </w:tc>
        <w:tc>
          <w:tcPr>
            <w:tcW w:type="dxa" w:w="2000"/>
            <w:tcMar>
              <w:top w:type="dxa" w:w="60"/>
              <w:left w:type="dxa" w:w="90"/>
              <w:bottom w:type="dxa" w:w="60"/>
              <w:right w:type="dxa" w:w="90"/>
            </w:tcMar>
          </w:tcPr>
          <w:p>
            <w:pPr>
              <w:spacing w:after="0" w:line="250"/>
              <w:jc w:val="center"/>
            </w:pPr>
            <w:r>
              <w:rPr>
                <w:b w:val="false"/>
                <w:bCs w:val="false"/>
                <w:color w:val="000000"/>
                <w:sz w:val="18"/>
                <w:szCs w:val="18"/>
              </w:rPr>
              <w:t xml:space="preserve">134</w:t>
            </w:r>
          </w:p>
        </w:tc>
        <w:tc>
          <w:tcPr>
            <w:tcW w:type="dxa" w:w="2000"/>
            <w:tcMar>
              <w:top w:type="dxa" w:w="60"/>
              <w:left w:type="dxa" w:w="90"/>
              <w:bottom w:type="dxa" w:w="60"/>
              <w:right w:type="dxa" w:w="90"/>
            </w:tcMar>
          </w:tcPr>
          <w:p>
            <w:pPr>
              <w:spacing w:after="0" w:line="250"/>
              <w:jc w:val="center"/>
            </w:pPr>
            <w:r>
              <w:rPr>
                <w:b w:val="false"/>
                <w:bCs w:val="false"/>
                <w:color w:val="000000"/>
                <w:sz w:val="18"/>
                <w:szCs w:val="18"/>
              </w:rPr>
              <w:t xml:space="preserve">2.2</w:t>
            </w:r>
          </w:p>
        </w:tc>
      </w:tr>
    </w:tbl>
    <w:p>
      <w:pPr>
        <w:spacing w:after="120" w:line="276"/>
      </w:pPr>
      <w:r>
        <w:rPr>
          <w:sz w:val="22"/>
          <w:szCs w:val="22"/>
        </w:rPr>
        <w:t xml:space="preserve">La transición no es gradual, sino abrupta: entre un hotspot y un archivo tranquilo hay una diferencia de churn de más de 150 veces. La actividad del proyecto no está repartida, sino </w:t>
      </w:r>
      <w:r>
        <w:rPr>
          <w:b/>
          <w:bCs/>
          <w:sz w:val="22"/>
          <w:szCs w:val="22"/>
        </w:rPr>
        <w:t xml:space="preserve">concentrada</w:t>
      </w:r>
      <w:r>
        <w:rPr>
          <w:sz w:val="22"/>
          <w:szCs w:val="22"/>
        </w:rPr>
        <w:t xml:space="preserve"> en un puñado de archivos.</w:t>
      </w:r>
    </w:p>
    <w:p>
      <w:pPr>
        <w:pStyle w:val="Heading1"/>
        <w:spacing w:after="140" w:before="320"/>
      </w:pPr>
      <w:r>
        <w:rPr>
          <w:b/>
          <w:bCs/>
          <w:color w:val="1F4E79"/>
          <w:sz w:val="30"/>
          <w:szCs w:val="30"/>
        </w:rPr>
        <w:t xml:space="preserve">Hallazgo 2 — Qué métricas se mueven juntas</w:t>
      </w:r>
    </w:p>
    <w:p>
      <w:pPr>
        <w:spacing w:after="120" w:line="276"/>
      </w:pPr>
      <w:r>
        <w:rPr>
          <w:sz w:val="22"/>
          <w:szCs w:val="22"/>
        </w:rPr>
        <w:t xml:space="preserve">Se calcularon las correlaciones de Pearson entre las métricas:</w:t>
      </w:r>
    </w:p>
    <w:tbl>
      <w:tblPr>
        <w:tblW w:type="dxa" w:w="9000"/>
        <w:tblBorders>
          <w:top w:val="single" w:color="BBBBBB" w:sz="4"/>
          <w:left w:val="single" w:color="BBBBBB" w:sz="4"/>
          <w:bottom w:val="single" w:color="BBBBBB" w:sz="4"/>
          <w:right w:val="single" w:color="BBBBBB" w:sz="4"/>
          <w:insideH w:val="single" w:color="DDDDDD" w:sz="4"/>
          <w:insideV w:val="single" w:color="DDDDDD" w:sz="4"/>
        </w:tblBorders>
      </w:tblPr>
      <w:tblGrid>
        <w:gridCol w:w="3600"/>
        <w:gridCol w:w="1800"/>
        <w:gridCol w:w="3600"/>
      </w:tblGrid>
      <w:tr>
        <w:trPr>
          <w:tblHeader/>
        </w:trPr>
        <w:tc>
          <w:tcPr>
            <w:tcW w:type="dxa" w:w="3600"/>
            <w:shd w:fill="1F4E79" w:val="clear"/>
            <w:tcMar>
              <w:top w:type="dxa" w:w="60"/>
              <w:left w:type="dxa" w:w="90"/>
              <w:bottom w:type="dxa" w:w="60"/>
              <w:right w:type="dxa" w:w="90"/>
            </w:tcMar>
          </w:tcPr>
          <w:p>
            <w:pPr>
              <w:spacing w:after="0" w:line="250"/>
              <w:jc w:val="center"/>
            </w:pPr>
            <w:r>
              <w:rPr>
                <w:b/>
                <w:bCs/>
                <w:color w:val="FFFFFF"/>
                <w:sz w:val="18"/>
                <w:szCs w:val="18"/>
              </w:rPr>
              <w:t xml:space="preserve">Par de métricas</w:t>
            </w:r>
          </w:p>
        </w:tc>
        <w:tc>
          <w:tcPr>
            <w:tcW w:type="dxa" w:w="1800"/>
            <w:shd w:fill="1F4E79" w:val="clear"/>
            <w:tcMar>
              <w:top w:type="dxa" w:w="60"/>
              <w:left w:type="dxa" w:w="90"/>
              <w:bottom w:type="dxa" w:w="60"/>
              <w:right w:type="dxa" w:w="90"/>
            </w:tcMar>
          </w:tcPr>
          <w:p>
            <w:pPr>
              <w:spacing w:after="0" w:line="250"/>
              <w:jc w:val="center"/>
            </w:pPr>
            <w:r>
              <w:rPr>
                <w:b/>
                <w:bCs/>
                <w:color w:val="FFFFFF"/>
                <w:sz w:val="18"/>
                <w:szCs w:val="18"/>
              </w:rPr>
              <w:t xml:space="preserve">Correlación</w:t>
            </w:r>
          </w:p>
        </w:tc>
        <w:tc>
          <w:tcPr>
            <w:tcW w:type="dxa" w:w="3600"/>
            <w:shd w:fill="1F4E79" w:val="clear"/>
            <w:tcMar>
              <w:top w:type="dxa" w:w="60"/>
              <w:left w:type="dxa" w:w="90"/>
              <w:bottom w:type="dxa" w:w="60"/>
              <w:right w:type="dxa" w:w="90"/>
            </w:tcMar>
          </w:tcPr>
          <w:p>
            <w:pPr>
              <w:spacing w:after="0" w:line="250"/>
              <w:jc w:val="center"/>
            </w:pPr>
            <w:r>
              <w:rPr>
                <w:b/>
                <w:bCs/>
                <w:color w:val="FFFFFF"/>
                <w:sz w:val="18"/>
                <w:szCs w:val="18"/>
              </w:rPr>
              <w:t xml:space="preserve">Lectura</w:t>
            </w:r>
          </w:p>
        </w:tc>
      </w:tr>
      <w:tr>
        <w:tc>
          <w:tcPr>
            <w:tcW w:type="dxa" w:w="3600"/>
            <w:tcMar>
              <w:top w:type="dxa" w:w="60"/>
              <w:left w:type="dxa" w:w="90"/>
              <w:bottom w:type="dxa" w:w="60"/>
              <w:right w:type="dxa" w:w="90"/>
            </w:tcMar>
          </w:tcPr>
          <w:p>
            <w:pPr>
              <w:spacing w:after="0" w:line="250"/>
              <w:jc w:val="left"/>
            </w:pPr>
            <w:r>
              <w:rPr>
                <w:b w:val="false"/>
                <w:bCs w:val="false"/>
                <w:color w:val="000000"/>
                <w:sz w:val="18"/>
                <w:szCs w:val="18"/>
              </w:rPr>
              <w:t xml:space="preserve">prior_commits ↔ colaboradores</w:t>
            </w:r>
          </w:p>
        </w:tc>
        <w:tc>
          <w:tcPr>
            <w:tcW w:type="dxa" w:w="1800"/>
            <w:tcMar>
              <w:top w:type="dxa" w:w="60"/>
              <w:left w:type="dxa" w:w="90"/>
              <w:bottom w:type="dxa" w:w="60"/>
              <w:right w:type="dxa" w:w="90"/>
            </w:tcMar>
          </w:tcPr>
          <w:p>
            <w:pPr>
              <w:spacing w:after="0" w:line="250"/>
              <w:jc w:val="center"/>
            </w:pPr>
            <w:r>
              <w:rPr>
                <w:b w:val="false"/>
                <w:bCs w:val="false"/>
                <w:color w:val="000000"/>
                <w:sz w:val="18"/>
                <w:szCs w:val="18"/>
              </w:rPr>
              <w:t xml:space="preserve">0.99</w:t>
            </w:r>
          </w:p>
        </w:tc>
        <w:tc>
          <w:tcPr>
            <w:tcW w:type="dxa" w:w="3600"/>
            <w:tcMar>
              <w:top w:type="dxa" w:w="60"/>
              <w:left w:type="dxa" w:w="90"/>
              <w:bottom w:type="dxa" w:w="60"/>
              <w:right w:type="dxa" w:w="90"/>
            </w:tcMar>
          </w:tcPr>
          <w:p>
            <w:pPr>
              <w:spacing w:after="0" w:line="250"/>
              <w:jc w:val="center"/>
            </w:pPr>
            <w:r>
              <w:rPr>
                <w:b w:val="false"/>
                <w:bCs w:val="false"/>
                <w:color w:val="000000"/>
                <w:sz w:val="18"/>
                <w:szCs w:val="18"/>
              </w:rPr>
              <w:t xml:space="preserve">Casi redundantes: miden casi lo mismo</w:t>
            </w:r>
          </w:p>
        </w:tc>
      </w:tr>
      <w:tr>
        <w:tc>
          <w:tcPr>
            <w:tcW w:type="dxa" w:w="3600"/>
            <w:shd w:fill="F5F8FB" w:val="clear"/>
            <w:tcMar>
              <w:top w:type="dxa" w:w="60"/>
              <w:left w:type="dxa" w:w="90"/>
              <w:bottom w:type="dxa" w:w="60"/>
              <w:right w:type="dxa" w:w="90"/>
            </w:tcMar>
          </w:tcPr>
          <w:p>
            <w:pPr>
              <w:spacing w:after="0" w:line="250"/>
              <w:jc w:val="left"/>
            </w:pPr>
            <w:r>
              <w:rPr>
                <w:b w:val="false"/>
                <w:bCs w:val="false"/>
                <w:color w:val="000000"/>
                <w:sz w:val="18"/>
                <w:szCs w:val="18"/>
              </w:rPr>
              <w:t xml:space="preserve">prior_commits ↔ churn</w:t>
            </w:r>
          </w:p>
        </w:tc>
        <w:tc>
          <w:tcPr>
            <w:tcW w:type="dxa" w:w="1800"/>
            <w:shd w:fill="F5F8FB" w:val="clear"/>
            <w:tcMar>
              <w:top w:type="dxa" w:w="60"/>
              <w:left w:type="dxa" w:w="90"/>
              <w:bottom w:type="dxa" w:w="60"/>
              <w:right w:type="dxa" w:w="90"/>
            </w:tcMar>
          </w:tcPr>
          <w:p>
            <w:pPr>
              <w:spacing w:after="0" w:line="250"/>
              <w:jc w:val="center"/>
            </w:pPr>
            <w:r>
              <w:rPr>
                <w:b w:val="false"/>
                <w:bCs w:val="false"/>
                <w:color w:val="000000"/>
                <w:sz w:val="18"/>
                <w:szCs w:val="18"/>
              </w:rPr>
              <w:t xml:space="preserve">0.78</w:t>
            </w:r>
          </w:p>
        </w:tc>
        <w:tc>
          <w:tcPr>
            <w:tcW w:type="dxa" w:w="3600"/>
            <w:shd w:fill="F5F8FB" w:val="clear"/>
            <w:tcMar>
              <w:top w:type="dxa" w:w="60"/>
              <w:left w:type="dxa" w:w="90"/>
              <w:bottom w:type="dxa" w:w="60"/>
              <w:right w:type="dxa" w:w="90"/>
            </w:tcMar>
          </w:tcPr>
          <w:p>
            <w:pPr>
              <w:spacing w:after="0" w:line="250"/>
              <w:jc w:val="center"/>
            </w:pPr>
            <w:r>
              <w:rPr>
                <w:b w:val="false"/>
                <w:bCs w:val="false"/>
                <w:color w:val="000000"/>
                <w:sz w:val="18"/>
                <w:szCs w:val="18"/>
              </w:rPr>
              <w:t xml:space="preserve">Fuerte, pero con excepciones</w:t>
            </w:r>
          </w:p>
        </w:tc>
      </w:tr>
      <w:tr>
        <w:tc>
          <w:tcPr>
            <w:tcW w:type="dxa" w:w="3600"/>
            <w:tcMar>
              <w:top w:type="dxa" w:w="60"/>
              <w:left w:type="dxa" w:w="90"/>
              <w:bottom w:type="dxa" w:w="60"/>
              <w:right w:type="dxa" w:w="90"/>
            </w:tcMar>
          </w:tcPr>
          <w:p>
            <w:pPr>
              <w:spacing w:after="0" w:line="250"/>
              <w:jc w:val="left"/>
            </w:pPr>
            <w:r>
              <w:rPr>
                <w:b w:val="false"/>
                <w:bCs w:val="false"/>
                <w:color w:val="000000"/>
                <w:sz w:val="18"/>
                <w:szCs w:val="18"/>
              </w:rPr>
              <w:t xml:space="preserve">churn ↔ colaboradores</w:t>
            </w:r>
          </w:p>
        </w:tc>
        <w:tc>
          <w:tcPr>
            <w:tcW w:type="dxa" w:w="1800"/>
            <w:tcMar>
              <w:top w:type="dxa" w:w="60"/>
              <w:left w:type="dxa" w:w="90"/>
              <w:bottom w:type="dxa" w:w="60"/>
              <w:right w:type="dxa" w:w="90"/>
            </w:tcMar>
          </w:tcPr>
          <w:p>
            <w:pPr>
              <w:spacing w:after="0" w:line="250"/>
              <w:jc w:val="center"/>
            </w:pPr>
            <w:r>
              <w:rPr>
                <w:b w:val="false"/>
                <w:bCs w:val="false"/>
                <w:color w:val="000000"/>
                <w:sz w:val="18"/>
                <w:szCs w:val="18"/>
              </w:rPr>
              <w:t xml:space="preserve">0.77</w:t>
            </w:r>
          </w:p>
        </w:tc>
        <w:tc>
          <w:tcPr>
            <w:tcW w:type="dxa" w:w="3600"/>
            <w:tcMar>
              <w:top w:type="dxa" w:w="60"/>
              <w:left w:type="dxa" w:w="90"/>
              <w:bottom w:type="dxa" w:w="60"/>
              <w:right w:type="dxa" w:w="90"/>
            </w:tcMar>
          </w:tcPr>
          <w:p>
            <w:pPr>
              <w:spacing w:after="0" w:line="250"/>
              <w:jc w:val="center"/>
            </w:pPr>
            <w:r>
              <w:rPr>
                <w:b w:val="false"/>
                <w:bCs w:val="false"/>
                <w:color w:val="000000"/>
                <w:sz w:val="18"/>
                <w:szCs w:val="18"/>
              </w:rPr>
              <w:t xml:space="preserve">Fuerte</w:t>
            </w:r>
          </w:p>
        </w:tc>
      </w:tr>
    </w:tbl>
    <w:p>
      <w:pPr>
        <w:spacing w:after="120" w:line="276"/>
      </w:pPr>
      <w:r>
        <w:rPr>
          <w:sz w:val="22"/>
          <w:szCs w:val="22"/>
        </w:rPr>
        <w:t xml:space="preserve">La correlación casi perfecta entre número de commits y número de colaboradores (0.99) indica que ambas métricas aportan información muy similar: los archivos que más se modifican son también los tocados por más personas distintas.</w:t>
      </w:r>
    </w:p>
    <w:p>
      <w:pPr>
        <w:pBdr>
          <w:top w:val="single" w:color="2E74B5" w:sz="6" w:space="4"/>
          <w:bottom w:val="single" w:color="2E74B5" w:sz="6" w:space="4"/>
          <w:left w:val="single" w:color="2E74B5" w:sz="24" w:space="8"/>
          <w:right w:val="single" w:color="2E74B5" w:sz="6" w:space="4"/>
        </w:pBdr>
        <w:shd w:fill="FBFBF7" w:val="clear"/>
        <w:spacing w:after="0" w:before="40" w:line="264"/>
      </w:pPr>
      <w:r>
        <w:rPr>
          <w:b/>
          <w:bCs/>
          <w:color w:val="2E74B5"/>
          <w:sz w:val="21"/>
          <w:szCs w:val="21"/>
        </w:rPr>
        <w:t xml:space="preserve">Excepción reveladora: commits ≠ churn</w:t>
      </w:r>
    </w:p>
    <w:p>
      <w:pPr>
        <w:pBdr>
          <w:bottom w:val="single" w:color="2E74B5" w:sz="6" w:space="4"/>
          <w:left w:val="single" w:color="2E74B5" w:sz="24" w:space="8"/>
          <w:right w:val="single" w:color="2E74B5" w:sz="6" w:space="4"/>
        </w:pBdr>
        <w:shd w:fill="FBFBF7" w:val="clear"/>
        <w:spacing w:after="40" w:before="20" w:line="268"/>
      </w:pPr>
      <w:r>
        <w:rPr>
          <w:sz w:val="22"/>
          <w:szCs w:val="22"/>
        </w:rPr>
        <w:t xml:space="preserve">ArrayUtils tiene 314 commits previos y un churn de 78,945; StringUtils tiene 716 commits (más del doble) pero un churn menor, de 52,000. </w:t>
      </w:r>
      <w:r>
        <w:rPr>
          <w:b/>
          <w:bCs/>
          <w:sz w:val="22"/>
          <w:szCs w:val="22"/>
        </w:rPr>
        <w:t xml:space="preserve">Conclusión: un archivo puede cambiar pocas veces pero de forma masiva.</w:t>
      </w:r>
      <w:r>
        <w:rPr>
          <w:sz w:val="22"/>
          <w:szCs w:val="22"/>
        </w:rPr>
        <w:t xml:space="preserve"> El número de commits y el churn son señales distintas, y conviene observar ambas al caracterizar un hotspot.</w:t>
      </w:r>
    </w:p>
    <w:p>
      <w:pPr>
        <w:spacing w:after="80"/>
      </w:pPr>
    </w:p>
    <w:p>
      <w:pPr>
        <w:pStyle w:val="Heading1"/>
        <w:spacing w:after="140" w:before="320"/>
      </w:pPr>
      <w:r>
        <w:rPr>
          <w:b/>
          <w:bCs/>
          <w:color w:val="1F4E79"/>
          <w:sz w:val="30"/>
          <w:szCs w:val="30"/>
        </w:rPr>
        <w:t xml:space="preserve">Hallazgo 3 — La concentración del churn (principio de Pareto)</w:t>
      </w:r>
    </w:p>
    <w:p>
      <w:pPr>
        <w:spacing w:after="120" w:line="276"/>
      </w:pPr>
      <w:r>
        <w:rPr>
          <w:sz w:val="22"/>
          <w:szCs w:val="22"/>
        </w:rPr>
        <w:t xml:space="preserve">Al ordenar los archivos por churn, la caída es drástica. Diez archivos concentran casi toda la masa de cambio de la muestra:</w:t>
      </w:r>
    </w:p>
    <w:p>
      <w:pPr>
        <w:spacing w:after="12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86025"/>
                    </a:xfrm>
                    <a:prstGeom prst="rect">
                      <a:avLst/>
                    </a:prstGeom>
                  </pic:spPr>
                </pic:pic>
              </a:graphicData>
            </a:graphic>
          </wp:inline>
        </w:drawing>
      </w:r>
    </w:p>
    <w:p>
      <w:pPr>
        <w:spacing w:after="120" w:line="276"/>
      </w:pPr>
      <w:r>
        <w:rPr>
          <w:b/>
          <w:bCs/>
          <w:sz w:val="22"/>
          <w:szCs w:val="22"/>
        </w:rPr>
        <w:t xml:space="preserve">Cifras de concentración:</w:t>
      </w:r>
    </w:p>
    <w:p>
      <w:pPr>
        <w:pStyle w:val="ListParagraph"/>
        <w:numPr>
          <w:ilvl w:val="0"/>
          <w:numId w:val="2"/>
        </w:numPr>
        <w:spacing w:after="80" w:line="268"/>
      </w:pPr>
      <w:r>
        <w:rPr>
          <w:sz w:val="22"/>
          <w:szCs w:val="22"/>
        </w:rPr>
        <w:t xml:space="preserve">Los </w:t>
      </w:r>
      <w:r>
        <w:rPr>
          <w:b/>
          <w:bCs/>
          <w:sz w:val="22"/>
          <w:szCs w:val="22"/>
        </w:rPr>
        <w:t xml:space="preserve">5 archivos</w:t>
      </w:r>
      <w:r>
        <w:rPr>
          <w:sz w:val="22"/>
          <w:szCs w:val="22"/>
        </w:rPr>
        <w:t xml:space="preserve"> más activos acumulan el </w:t>
      </w:r>
      <w:r>
        <w:rPr>
          <w:b/>
          <w:bCs/>
          <w:sz w:val="22"/>
          <w:szCs w:val="22"/>
        </w:rPr>
        <w:t xml:space="preserve">79%</w:t>
      </w:r>
      <w:r>
        <w:rPr>
          <w:sz w:val="22"/>
          <w:szCs w:val="22"/>
        </w:rPr>
        <w:t xml:space="preserve"> del churn total de la muestra.</w:t>
      </w:r>
    </w:p>
    <w:p>
      <w:pPr>
        <w:pStyle w:val="ListParagraph"/>
        <w:numPr>
          <w:ilvl w:val="0"/>
          <w:numId w:val="2"/>
        </w:numPr>
        <w:spacing w:after="80" w:line="268"/>
      </w:pPr>
      <w:r>
        <w:rPr>
          <w:sz w:val="22"/>
          <w:szCs w:val="22"/>
        </w:rPr>
        <w:t xml:space="preserve">Solo </w:t>
      </w:r>
      <w:r>
        <w:rPr>
          <w:b/>
          <w:bCs/>
          <w:sz w:val="22"/>
          <w:szCs w:val="22"/>
        </w:rPr>
        <w:t xml:space="preserve">ArrayUtils + StringUtils</w:t>
      </w:r>
      <w:r>
        <w:rPr>
          <w:sz w:val="22"/>
          <w:szCs w:val="22"/>
        </w:rPr>
        <w:t xml:space="preserve"> concentran el </w:t>
      </w:r>
      <w:r>
        <w:rPr>
          <w:b/>
          <w:bCs/>
          <w:sz w:val="22"/>
          <w:szCs w:val="22"/>
        </w:rPr>
        <w:t xml:space="preserve">61%</w:t>
      </w:r>
      <w:r>
        <w:rPr>
          <w:sz w:val="22"/>
          <w:szCs w:val="22"/>
        </w:rPr>
        <w:t xml:space="preserve"> del churn.</w:t>
      </w:r>
    </w:p>
    <w:p>
      <w:pPr>
        <w:pStyle w:val="ListParagraph"/>
        <w:numPr>
          <w:ilvl w:val="0"/>
          <w:numId w:val="2"/>
        </w:numPr>
        <w:spacing w:after="80" w:line="268"/>
      </w:pPr>
      <w:r>
        <w:rPr>
          <w:sz w:val="22"/>
          <w:szCs w:val="22"/>
        </w:rPr>
        <w:t xml:space="preserve">Los 20 archivos de la mitad inferior, juntos, suman una fracción marginal.</w:t>
      </w:r>
    </w:p>
    <w:p>
      <w:pPr>
        <w:pBdr>
          <w:top w:val="single" w:color="1E7145" w:sz="6" w:space="4"/>
          <w:bottom w:val="single" w:color="1E7145" w:sz="6" w:space="4"/>
          <w:left w:val="single" w:color="1E7145" w:sz="24" w:space="8"/>
          <w:right w:val="single" w:color="1E7145" w:sz="6" w:space="4"/>
        </w:pBdr>
        <w:shd w:fill="FBFBF7" w:val="clear"/>
        <w:spacing w:after="0" w:before="40" w:line="264"/>
      </w:pPr>
      <w:r>
        <w:rPr>
          <w:b/>
          <w:bCs/>
          <w:color w:val="1E7145"/>
          <w:sz w:val="21"/>
          <w:szCs w:val="21"/>
        </w:rPr>
        <w:t xml:space="preserve">Por qué importa para la Ruta B</w:t>
      </w:r>
    </w:p>
    <w:p>
      <w:pPr>
        <w:pBdr>
          <w:bottom w:val="single" w:color="1E7145" w:sz="6" w:space="4"/>
          <w:left w:val="single" w:color="1E7145" w:sz="24" w:space="8"/>
          <w:right w:val="single" w:color="1E7145" w:sz="6" w:space="4"/>
        </w:pBdr>
        <w:shd w:fill="FBFBF7" w:val="clear"/>
        <w:spacing w:after="40" w:before="20" w:line="268"/>
      </w:pPr>
      <w:r>
        <w:rPr>
          <w:sz w:val="22"/>
          <w:szCs w:val="22"/>
        </w:rPr>
        <w:t xml:space="preserve">Si la deuda técnica se acumula donde se concentra el cambio, entonces vigilar un puñado de hotspots cubriría la mayor parte del riesgo. Estos datos dan </w:t>
      </w:r>
      <w:r>
        <w:rPr>
          <w:b/>
          <w:bCs/>
          <w:sz w:val="22"/>
          <w:szCs w:val="22"/>
        </w:rPr>
        <w:t xml:space="preserve">evidencia empírica</w:t>
      </w:r>
      <w:r>
        <w:rPr>
          <w:sz w:val="22"/>
          <w:szCs w:val="22"/>
        </w:rPr>
        <w:t xml:space="preserve"> de que esa concentración existe en el proyecto. Es un argumento a favor de la línea de investigación centrada en hotspots.</w:t>
      </w:r>
    </w:p>
    <w:p>
      <w:pPr>
        <w:spacing w:after="80"/>
      </w:pPr>
    </w:p>
    <w:p>
      <w:pPr>
        <w:pBdr>
          <w:top w:val="single" w:color="9C2C2C" w:sz="6" w:space="4"/>
          <w:bottom w:val="single" w:color="9C2C2C" w:sz="6" w:space="4"/>
          <w:left w:val="single" w:color="9C2C2C" w:sz="24" w:space="8"/>
          <w:right w:val="single" w:color="9C2C2C" w:sz="6" w:space="4"/>
        </w:pBdr>
        <w:shd w:fill="FBFBF7" w:val="clear"/>
        <w:spacing w:after="0" w:before="40" w:line="264"/>
      </w:pPr>
      <w:r>
        <w:rPr>
          <w:b/>
          <w:bCs/>
          <w:color w:val="9C2C2C"/>
          <w:sz w:val="21"/>
          <w:szCs w:val="21"/>
        </w:rPr>
        <w:t xml:space="preserve">Distinción que se mantiene</w:t>
      </w:r>
    </w:p>
    <w:p>
      <w:pPr>
        <w:pBdr>
          <w:bottom w:val="single" w:color="9C2C2C" w:sz="6" w:space="4"/>
          <w:left w:val="single" w:color="9C2C2C" w:sz="24" w:space="8"/>
          <w:right w:val="single" w:color="9C2C2C" w:sz="6" w:space="4"/>
        </w:pBdr>
        <w:shd w:fill="FBFBF7" w:val="clear"/>
        <w:spacing w:after="40" w:before="20" w:line="268"/>
      </w:pPr>
      <w:r>
        <w:rPr>
          <w:b/>
          <w:bCs/>
          <w:sz w:val="22"/>
          <w:szCs w:val="22"/>
        </w:rPr>
        <w:t xml:space="preserve">Churn alto ≠ deuda técnica.</w:t>
      </w:r>
      <w:r>
        <w:rPr>
          <w:sz w:val="22"/>
          <w:szCs w:val="22"/>
        </w:rPr>
        <w:t xml:space="preserve"> Que ArrayUtils concentre cambio no prueba que tenga deuda; solo lo señala como candidato a vigilar. La deuda debe confirmarse con evidencia independiente. El dataset describe actividad, no diagnostica deuda.</w:t>
      </w:r>
    </w:p>
    <w:p>
      <w:pPr>
        <w:spacing w:after="80"/>
      </w:pPr>
    </w:p>
    <w:p>
      <w:pPr>
        <w:pStyle w:val="Heading1"/>
        <w:spacing w:after="140" w:before="320"/>
      </w:pPr>
      <w:r>
        <w:rPr>
          <w:b/>
          <w:bCs/>
          <w:color w:val="1F4E79"/>
          <w:sz w:val="30"/>
          <w:szCs w:val="30"/>
        </w:rPr>
        <w:t xml:space="preserve">Hallazgo 4 — Un evento global contamina days_since_last_change</w:t>
      </w:r>
    </w:p>
    <w:p>
      <w:pPr>
        <w:spacing w:after="120" w:line="276"/>
      </w:pPr>
      <w:r>
        <w:rPr>
          <w:sz w:val="22"/>
          <w:szCs w:val="22"/>
        </w:rPr>
        <w:t xml:space="preserve">Siete archivos del dataset presentan exactamente el mismo valor de days_since_last_change: </w:t>
      </w:r>
      <w:r>
        <w:rPr>
          <w:b/>
          <w:bCs/>
          <w:sz w:val="22"/>
          <w:szCs w:val="22"/>
        </w:rPr>
        <w:t xml:space="preserve">176 días</w:t>
      </w:r>
      <w:r>
        <w:rPr>
          <w:sz w:val="22"/>
          <w:szCs w:val="22"/>
        </w:rPr>
        <w:t xml:space="preserve">. Que archivos independientes compartan la fecha exacta de su último cambio no es casualidad.</w:t>
      </w:r>
    </w:p>
    <w:p>
      <w:pPr>
        <w:spacing w:after="120" w:line="276"/>
      </w:pPr>
      <w:r>
        <w:rPr>
          <w:sz w:val="22"/>
          <w:szCs w:val="22"/>
        </w:rPr>
        <w:t xml:space="preserve">La inspección del historial revela la causa: los siete comparten un mismo último commit, </w:t>
      </w:r>
      <w:r>
        <w:rPr>
          <w:b/>
          <w:bCs/>
          <w:sz w:val="22"/>
          <w:szCs w:val="22"/>
        </w:rPr>
        <w:t xml:space="preserve">a82f4cb50 (2025-05-20)</w:t>
      </w:r>
      <w:r>
        <w:rPr>
          <w:sz w:val="22"/>
          <w:szCs w:val="22"/>
        </w:rPr>
        <w:t xml:space="preserve">, titulado </w:t>
      </w:r>
      <w:r>
        <w:rPr>
          <w:i/>
          <w:iCs/>
          <w:sz w:val="22"/>
          <w:szCs w:val="22"/>
        </w:rPr>
        <w:t xml:space="preserve">"Update Apache License URL to HTTPS"</w:t>
      </w:r>
      <w:r>
        <w:rPr>
          <w:sz w:val="22"/>
          <w:szCs w:val="22"/>
        </w:rPr>
        <w:t xml:space="preserve">, que modificó </w:t>
      </w:r>
      <w:r>
        <w:rPr>
          <w:b/>
          <w:bCs/>
          <w:sz w:val="22"/>
          <w:szCs w:val="22"/>
        </w:rPr>
        <w:t xml:space="preserve">511 archivos</w:t>
      </w:r>
      <w:r>
        <w:rPr>
          <w:sz w:val="22"/>
          <w:szCs w:val="22"/>
        </w:rPr>
        <w:t xml:space="preserve"> de una sola vez para actualizar la URL de la licencia en las cabeceras — un cambio cosmético masivo.</w:t>
      </w:r>
    </w:p>
    <w:p>
      <w:pPr>
        <w:pBdr>
          <w:top w:val="single" w:color="8A6D0B" w:sz="6" w:space="4"/>
          <w:bottom w:val="single" w:color="8A6D0B" w:sz="6" w:space="4"/>
          <w:left w:val="single" w:color="8A6D0B" w:sz="24" w:space="8"/>
          <w:right w:val="single" w:color="8A6D0B" w:sz="6" w:space="4"/>
        </w:pBdr>
        <w:shd w:fill="FBFBF7" w:val="clear"/>
        <w:spacing w:after="0" w:before="40" w:line="264"/>
      </w:pPr>
      <w:r>
        <w:rPr>
          <w:b/>
          <w:bCs/>
          <w:color w:val="8A6D0B"/>
          <w:sz w:val="21"/>
          <w:szCs w:val="21"/>
        </w:rPr>
        <w:t xml:space="preserve">Implicación metodológica (material para D5)</w:t>
      </w:r>
    </w:p>
    <w:p>
      <w:pPr>
        <w:pBdr>
          <w:bottom w:val="single" w:color="8A6D0B" w:sz="6" w:space="4"/>
          <w:left w:val="single" w:color="8A6D0B" w:sz="24" w:space="8"/>
          <w:right w:val="single" w:color="8A6D0B" w:sz="6" w:space="4"/>
        </w:pBdr>
        <w:shd w:fill="FBFBF7" w:val="clear"/>
        <w:spacing w:after="40" w:before="20" w:line="268"/>
      </w:pPr>
      <w:r>
        <w:rPr>
          <w:sz w:val="22"/>
          <w:szCs w:val="22"/>
        </w:rPr>
        <w:t xml:space="preserve">La métrica days_since_last_change queda </w:t>
      </w:r>
      <w:r>
        <w:rPr>
          <w:b/>
          <w:bCs/>
          <w:sz w:val="22"/>
          <w:szCs w:val="22"/>
        </w:rPr>
        <w:t xml:space="preserve">contaminada</w:t>
      </w:r>
      <w:r>
        <w:rPr>
          <w:sz w:val="22"/>
          <w:szCs w:val="22"/>
        </w:rPr>
        <w:t xml:space="preserve">: esos archivos parecen haber cambiado "hace 176 días" cuando en realidad no tuvieron actividad real, solo un edit global de licencia. Es el mismo fenómeno que las migraciones de paquete detectadas en el análisis de identidad: un </w:t>
      </w:r>
      <w:r>
        <w:rPr>
          <w:b/>
          <w:bCs/>
          <w:sz w:val="22"/>
          <w:szCs w:val="22"/>
        </w:rPr>
        <w:t xml:space="preserve">evento global del proyecto</w:t>
      </w:r>
      <w:r>
        <w:rPr>
          <w:sz w:val="22"/>
          <w:szCs w:val="22"/>
        </w:rPr>
        <w:t xml:space="preserve"> que se disfraza de actividad individual. Un pipeline longitudinal deberá aprender a distinguir el cambio real de un archivo del cambio masivo trivial que arrastra a todo el repositorio.</w:t>
      </w:r>
    </w:p>
    <w:p>
      <w:pPr>
        <w:spacing w:after="80"/>
      </w:pPr>
    </w:p>
    <w:p>
      <w:pPr>
        <w:pStyle w:val="Heading1"/>
        <w:spacing w:after="140" w:before="320"/>
      </w:pPr>
      <w:r>
        <w:rPr>
          <w:b/>
          <w:bCs/>
          <w:color w:val="1F4E79"/>
          <w:sz w:val="30"/>
          <w:szCs w:val="30"/>
        </w:rPr>
        <w:t xml:space="preserve">Qué dice el análisis sobre la factibilidad del sprint</w:t>
      </w:r>
    </w:p>
    <w:p>
      <w:pPr>
        <w:spacing w:after="120" w:line="276"/>
      </w:pPr>
      <w:r>
        <w:rPr>
          <w:b/>
          <w:bCs/>
          <w:sz w:val="22"/>
          <w:szCs w:val="22"/>
        </w:rPr>
        <w:t xml:space="preserve">Pregunta 2 del sprint — ¿Podemos obtener información histórica sin usar datos del futuro?</w:t>
      </w:r>
    </w:p>
    <w:p>
      <w:pPr>
        <w:spacing w:after="120" w:line="276"/>
      </w:pPr>
      <w:r>
        <w:rPr>
          <w:sz w:val="22"/>
          <w:szCs w:val="22"/>
        </w:rPr>
        <w:t xml:space="preserve">Sí. El procedimiento aplicó el filtro temporal (</w:t>
      </w:r>
      <w:r>
        <w:rPr>
          <w:b/>
          <w:bCs/>
          <w:sz w:val="22"/>
          <w:szCs w:val="22"/>
        </w:rPr>
        <w:t xml:space="preserve">--before=decision_time</w:t>
      </w:r>
      <w:r>
        <w:rPr>
          <w:sz w:val="22"/>
          <w:szCs w:val="22"/>
        </w:rPr>
        <w:t xml:space="preserve">) en todas las métricas; ningún valor proviene de commits posteriores al momento analizado, y el dataset es reconstruible a partir del repositorio y el commit indicados.</w:t>
      </w:r>
    </w:p>
    <w:p>
      <w:pPr>
        <w:spacing w:after="120" w:line="276"/>
      </w:pPr>
      <w:r>
        <w:rPr>
          <w:b/>
          <w:bCs/>
          <w:sz w:val="22"/>
          <w:szCs w:val="22"/>
        </w:rPr>
        <w:t xml:space="default"/>
      </w:r>
      <w:r>
        <w:rPr>
          <w:sz w:val="22"/>
          <w:szCs w:val="22"/>
        </w:rPr>
        <w:t xml:space="preserve"> (a registrar para D4 y D5):</w:t>
      </w:r>
    </w:p>
    <w:p>
      <w:pPr>
        <w:pStyle w:val="ListParagraph"/>
        <w:numPr>
          <w:ilvl w:val="0"/>
          <w:numId w:val="2"/>
        </w:numPr>
        <w:spacing w:after="80" w:line="268"/>
      </w:pPr>
      <w:r>
        <w:rPr>
          <w:b/>
          <w:bCs/>
          <w:sz w:val="22"/>
          <w:szCs w:val="22"/>
        </w:rPr>
        <w:t xml:space="preserve">Churn inflado por merges:</w:t>
      </w:r>
      <w:r>
        <w:rPr>
          <w:sz w:val="22"/>
          <w:szCs w:val="22"/>
        </w:rPr>
        <w:t xml:space="preserve"> el conteo con --numstat puede sumar líneas ya contadas en commits de fusión. Por eso el sprint exige la verificación manual de casos.</w:t>
      </w:r>
    </w:p>
    <w:p>
      <w:pPr>
        <w:pStyle w:val="ListParagraph"/>
        <w:numPr>
          <w:ilvl w:val="0"/>
          <w:numId w:val="2"/>
        </w:numPr>
        <w:spacing w:after="80" w:line="268"/>
      </w:pPr>
      <w:r>
        <w:rPr>
          <w:b/>
          <w:bCs/>
          <w:sz w:val="22"/>
          <w:szCs w:val="22"/>
        </w:rPr>
        <w:t xml:space="preserve">Métricas contaminadas por eventos globales:</w:t>
      </w:r>
      <w:r>
        <w:rPr>
          <w:sz w:val="22"/>
          <w:szCs w:val="22"/>
        </w:rPr>
        <w:t xml:space="preserve"> el commit de licencia afectó a 511 archivos; un futuro pipeline deberá filtrar commits masivos/triviales.</w:t>
      </w:r>
    </w:p>
    <w:p>
      <w:pPr>
        <w:pStyle w:val="Heading1"/>
        <w:spacing w:after="140" w:before="320"/>
      </w:pPr>
      <w:r>
        <w:rPr>
          <w:b/>
          <w:bCs/>
          <w:color w:val="1F4E79"/>
          <w:sz w:val="30"/>
          <w:szCs w:val="30"/>
        </w:rPr>
        <w:t xml:space="preserve">Verificación manual (criterio de aceptación de D3)</w:t>
      </w:r>
    </w:p>
    <w:p>
      <w:pPr>
        <w:spacing w:after="120" w:line="276"/>
      </w:pPr>
      <w:r>
        <w:rPr>
          <w:sz w:val="22"/>
          <w:szCs w:val="22"/>
        </w:rPr>
        <w:t xml:space="preserve">Se seleccionaron tres archivos, uno por estrato, y se comprobó manualmente que los valores del script coinciden con el historial de Git:</w:t>
      </w:r>
    </w:p>
    <w:tbl>
      <w:tblPr>
        <w:tblW w:type="dxa" w:w="9600"/>
        <w:tblBorders>
          <w:top w:val="single" w:color="BBBBBB" w:sz="4"/>
          <w:left w:val="single" w:color="BBBBBB" w:sz="4"/>
          <w:bottom w:val="single" w:color="BBBBBB" w:sz="4"/>
          <w:right w:val="single" w:color="BBBBBB" w:sz="4"/>
          <w:insideH w:val="single" w:color="DDDDDD" w:sz="4"/>
          <w:insideV w:val="single" w:color="DDDDDD" w:sz="4"/>
        </w:tblBorders>
      </w:tblPr>
      <w:tblGrid>
        <w:gridCol w:w="3000"/>
        <w:gridCol w:w="1800"/>
        <w:gridCol w:w="1800"/>
        <w:gridCol w:w="1800"/>
        <w:gridCol w:w="1200"/>
      </w:tblGrid>
      <w:tr>
        <w:trPr>
          <w:tblHeader/>
        </w:trPr>
        <w:tc>
          <w:tcPr>
            <w:tcW w:type="dxa" w:w="3000"/>
            <w:shd w:fill="1F4E79" w:val="clear"/>
            <w:tcMar>
              <w:top w:type="dxa" w:w="60"/>
              <w:left w:type="dxa" w:w="90"/>
              <w:bottom w:type="dxa" w:w="60"/>
              <w:right w:type="dxa" w:w="90"/>
            </w:tcMar>
          </w:tcPr>
          <w:p>
            <w:pPr>
              <w:spacing w:after="0" w:line="250"/>
              <w:jc w:val="center"/>
            </w:pPr>
            <w:r>
              <w:rPr>
                <w:b/>
                <w:bCs/>
                <w:color w:val="FFFFFF"/>
                <w:sz w:val="18"/>
                <w:szCs w:val="18"/>
              </w:rPr>
              <w:t xml:space="preserve">Archivo</w:t>
            </w:r>
          </w:p>
        </w:tc>
        <w:tc>
          <w:tcPr>
            <w:tcW w:type="dxa" w:w="1800"/>
            <w:shd w:fill="1F4E79" w:val="clear"/>
            <w:tcMar>
              <w:top w:type="dxa" w:w="60"/>
              <w:left w:type="dxa" w:w="90"/>
              <w:bottom w:type="dxa" w:w="60"/>
              <w:right w:type="dxa" w:w="90"/>
            </w:tcMar>
          </w:tcPr>
          <w:p>
            <w:pPr>
              <w:spacing w:after="0" w:line="250"/>
              <w:jc w:val="center"/>
            </w:pPr>
            <w:r>
              <w:rPr>
                <w:b/>
                <w:bCs/>
                <w:color w:val="FFFFFF"/>
                <w:sz w:val="18"/>
                <w:szCs w:val="18"/>
              </w:rPr>
              <w:t xml:space="preserve">Estrato</w:t>
            </w:r>
          </w:p>
        </w:tc>
        <w:tc>
          <w:tcPr>
            <w:tcW w:type="dxa" w:w="1800"/>
            <w:shd w:fill="1F4E79" w:val="clear"/>
            <w:tcMar>
              <w:top w:type="dxa" w:w="60"/>
              <w:left w:type="dxa" w:w="90"/>
              <w:bottom w:type="dxa" w:w="60"/>
              <w:right w:type="dxa" w:w="90"/>
            </w:tcMar>
          </w:tcPr>
          <w:p>
            <w:pPr>
              <w:spacing w:after="0" w:line="250"/>
              <w:jc w:val="center"/>
            </w:pPr>
            <w:r>
              <w:rPr>
                <w:b/>
                <w:bCs/>
                <w:color w:val="FFFFFF"/>
                <w:sz w:val="18"/>
                <w:szCs w:val="18"/>
              </w:rPr>
              <w:t xml:space="preserve">prior_commits</w:t>
            </w:r>
          </w:p>
        </w:tc>
        <w:tc>
          <w:tcPr>
            <w:tcW w:type="dxa" w:w="1800"/>
            <w:shd w:fill="1F4E79" w:val="clear"/>
            <w:tcMar>
              <w:top w:type="dxa" w:w="60"/>
              <w:left w:type="dxa" w:w="90"/>
              <w:bottom w:type="dxa" w:w="60"/>
              <w:right w:type="dxa" w:w="90"/>
            </w:tcMar>
          </w:tcPr>
          <w:p>
            <w:pPr>
              <w:spacing w:after="0" w:line="250"/>
              <w:jc w:val="center"/>
            </w:pPr>
            <w:r>
              <w:rPr>
                <w:b/>
                <w:bCs/>
                <w:color w:val="FFFFFF"/>
                <w:sz w:val="18"/>
                <w:szCs w:val="18"/>
              </w:rPr>
              <w:t xml:space="preserve">colaboradores</w:t>
            </w:r>
          </w:p>
        </w:tc>
        <w:tc>
          <w:tcPr>
            <w:tcW w:type="dxa" w:w="1200"/>
            <w:shd w:fill="1F4E79" w:val="clear"/>
            <w:tcMar>
              <w:top w:type="dxa" w:w="60"/>
              <w:left w:type="dxa" w:w="90"/>
              <w:bottom w:type="dxa" w:w="60"/>
              <w:right w:type="dxa" w:w="90"/>
            </w:tcMar>
          </w:tcPr>
          <w:p>
            <w:pPr>
              <w:spacing w:after="0" w:line="250"/>
              <w:jc w:val="center"/>
            </w:pPr>
            <w:r>
              <w:rPr>
                <w:b/>
                <w:bCs/>
                <w:color w:val="FFFFFF"/>
                <w:sz w:val="18"/>
                <w:szCs w:val="18"/>
              </w:rPr>
              <w:t xml:space="preserve">¿Coincide?</w:t>
            </w:r>
          </w:p>
        </w:tc>
      </w:tr>
      <w:tr>
        <w:tc>
          <w:tcPr>
            <w:tcW w:type="dxa" w:w="3000"/>
            <w:tcMar>
              <w:top w:type="dxa" w:w="60"/>
              <w:left w:type="dxa" w:w="90"/>
              <w:bottom w:type="dxa" w:w="60"/>
              <w:right w:type="dxa" w:w="90"/>
            </w:tcMar>
          </w:tcPr>
          <w:p>
            <w:pPr>
              <w:spacing w:after="0" w:line="250"/>
              <w:jc w:val="left"/>
            </w:pPr>
            <w:r>
              <w:rPr>
                <w:b w:val="false"/>
                <w:bCs w:val="false"/>
                <w:color w:val="000000"/>
                <w:sz w:val="18"/>
                <w:szCs w:val="18"/>
              </w:rPr>
              <w:t xml:space="preserve">StringUtils</w:t>
            </w:r>
          </w:p>
        </w:tc>
        <w:tc>
          <w:tcPr>
            <w:tcW w:type="dxa" w:w="1800"/>
            <w:tcMar>
              <w:top w:type="dxa" w:w="60"/>
              <w:left w:type="dxa" w:w="90"/>
              <w:bottom w:type="dxa" w:w="60"/>
              <w:right w:type="dxa" w:w="90"/>
            </w:tcMar>
          </w:tcPr>
          <w:p>
            <w:pPr>
              <w:spacing w:after="0" w:line="250"/>
              <w:jc w:val="center"/>
            </w:pPr>
            <w:r>
              <w:rPr>
                <w:b w:val="false"/>
                <w:bCs w:val="false"/>
                <w:color w:val="000000"/>
                <w:sz w:val="18"/>
                <w:szCs w:val="18"/>
              </w:rPr>
              <w:t xml:space="preserve">Hotspot</w:t>
            </w:r>
          </w:p>
        </w:tc>
        <w:tc>
          <w:tcPr>
            <w:tcW w:type="dxa" w:w="1800"/>
            <w:tcMar>
              <w:top w:type="dxa" w:w="60"/>
              <w:left w:type="dxa" w:w="90"/>
              <w:bottom w:type="dxa" w:w="60"/>
              <w:right w:type="dxa" w:w="90"/>
            </w:tcMar>
          </w:tcPr>
          <w:p>
            <w:pPr>
              <w:spacing w:after="0" w:line="250"/>
              <w:jc w:val="center"/>
            </w:pPr>
            <w:r>
              <w:rPr>
                <w:b w:val="false"/>
                <w:bCs w:val="false"/>
                <w:color w:val="000000"/>
                <w:sz w:val="18"/>
                <w:szCs w:val="18"/>
              </w:rPr>
              <w:t xml:space="preserve">716</w:t>
            </w:r>
          </w:p>
        </w:tc>
        <w:tc>
          <w:tcPr>
            <w:tcW w:type="dxa" w:w="1800"/>
            <w:tcMar>
              <w:top w:type="dxa" w:w="60"/>
              <w:left w:type="dxa" w:w="90"/>
              <w:bottom w:type="dxa" w:w="60"/>
              <w:right w:type="dxa" w:w="90"/>
            </w:tcMar>
          </w:tcPr>
          <w:p>
            <w:pPr>
              <w:spacing w:after="0" w:line="250"/>
              <w:jc w:val="center"/>
            </w:pPr>
            <w:r>
              <w:rPr>
                <w:b w:val="false"/>
                <w:bCs w:val="false"/>
                <w:color w:val="000000"/>
                <w:sz w:val="18"/>
                <w:szCs w:val="18"/>
              </w:rPr>
              <w:t xml:space="preserve">93</w:t>
            </w:r>
          </w:p>
        </w:tc>
        <w:tc>
          <w:tcPr>
            <w:tcW w:type="dxa" w:w="1200"/>
            <w:tcMar>
              <w:top w:type="dxa" w:w="60"/>
              <w:left w:type="dxa" w:w="90"/>
              <w:bottom w:type="dxa" w:w="60"/>
              <w:right w:type="dxa" w:w="90"/>
            </w:tcMar>
          </w:tcPr>
          <w:p>
            <w:pPr>
              <w:spacing w:after="0" w:line="250"/>
              <w:jc w:val="center"/>
            </w:pPr>
            <w:r>
              <w:rPr>
                <w:b w:val="false"/>
                <w:bCs w:val="false"/>
                <w:color w:val="000000"/>
                <w:sz w:val="18"/>
                <w:szCs w:val="18"/>
              </w:rPr>
              <w:t xml:space="preserve">Sí</w:t>
            </w:r>
          </w:p>
        </w:tc>
      </w:tr>
      <w:tr>
        <w:tc>
          <w:tcPr>
            <w:tcW w:type="dxa" w:w="3000"/>
            <w:shd w:fill="F5F8FB" w:val="clear"/>
            <w:tcMar>
              <w:top w:type="dxa" w:w="60"/>
              <w:left w:type="dxa" w:w="90"/>
              <w:bottom w:type="dxa" w:w="60"/>
              <w:right w:type="dxa" w:w="90"/>
            </w:tcMar>
          </w:tcPr>
          <w:p>
            <w:pPr>
              <w:spacing w:after="0" w:line="250"/>
              <w:jc w:val="left"/>
            </w:pPr>
            <w:r>
              <w:rPr>
                <w:b w:val="false"/>
                <w:bCs w:val="false"/>
                <w:color w:val="000000"/>
                <w:sz w:val="18"/>
                <w:szCs w:val="18"/>
              </w:rPr>
              <w:t xml:space="preserve">TimeZones</w:t>
            </w:r>
          </w:p>
        </w:tc>
        <w:tc>
          <w:tcPr>
            <w:tcW w:type="dxa" w:w="1800"/>
            <w:shd w:fill="F5F8FB" w:val="clear"/>
            <w:tcMar>
              <w:top w:type="dxa" w:w="60"/>
              <w:left w:type="dxa" w:w="90"/>
              <w:bottom w:type="dxa" w:w="60"/>
              <w:right w:type="dxa" w:w="90"/>
            </w:tcMar>
          </w:tcPr>
          <w:p>
            <w:pPr>
              <w:spacing w:after="0" w:line="250"/>
              <w:jc w:val="center"/>
            </w:pPr>
            <w:r>
              <w:rPr>
                <w:b w:val="false"/>
                <w:bCs w:val="false"/>
                <w:color w:val="000000"/>
                <w:sz w:val="18"/>
                <w:szCs w:val="18"/>
              </w:rPr>
              <w:t xml:space="preserve">Medio</w:t>
            </w:r>
          </w:p>
        </w:tc>
        <w:tc>
          <w:tcPr>
            <w:tcW w:type="dxa" w:w="1800"/>
            <w:shd w:fill="F5F8FB" w:val="clear"/>
            <w:tcMar>
              <w:top w:type="dxa" w:w="60"/>
              <w:left w:type="dxa" w:w="90"/>
              <w:bottom w:type="dxa" w:w="60"/>
              <w:right w:type="dxa" w:w="90"/>
            </w:tcMar>
          </w:tcPr>
          <w:p>
            <w:pPr>
              <w:spacing w:after="0" w:line="250"/>
              <w:jc w:val="center"/>
            </w:pPr>
            <w:r>
              <w:rPr>
                <w:b w:val="false"/>
                <w:bCs w:val="false"/>
                <w:color w:val="000000"/>
                <w:sz w:val="18"/>
                <w:szCs w:val="18"/>
              </w:rPr>
              <w:t xml:space="preserve">33</w:t>
            </w:r>
          </w:p>
        </w:tc>
        <w:tc>
          <w:tcPr>
            <w:tcW w:type="dxa" w:w="1800"/>
            <w:shd w:fill="F5F8FB" w:val="clear"/>
            <w:tcMar>
              <w:top w:type="dxa" w:w="60"/>
              <w:left w:type="dxa" w:w="90"/>
              <w:bottom w:type="dxa" w:w="60"/>
              <w:right w:type="dxa" w:w="90"/>
            </w:tcMar>
          </w:tcPr>
          <w:p>
            <w:pPr>
              <w:spacing w:after="0" w:line="250"/>
              <w:jc w:val="center"/>
            </w:pPr>
            <w:r>
              <w:rPr>
                <w:b w:val="false"/>
                <w:bCs w:val="false"/>
                <w:color w:val="000000"/>
                <w:sz w:val="18"/>
                <w:szCs w:val="18"/>
              </w:rPr>
              <w:t xml:space="preserve">10</w:t>
            </w:r>
          </w:p>
        </w:tc>
        <w:tc>
          <w:tcPr>
            <w:tcW w:type="dxa" w:w="1200"/>
            <w:shd w:fill="F5F8FB" w:val="clear"/>
            <w:tcMar>
              <w:top w:type="dxa" w:w="60"/>
              <w:left w:type="dxa" w:w="90"/>
              <w:bottom w:type="dxa" w:w="60"/>
              <w:right w:type="dxa" w:w="90"/>
            </w:tcMar>
          </w:tcPr>
          <w:p>
            <w:pPr>
              <w:spacing w:after="0" w:line="250"/>
              <w:jc w:val="center"/>
            </w:pPr>
            <w:r>
              <w:rPr>
                <w:b w:val="false"/>
                <w:bCs w:val="false"/>
                <w:color w:val="000000"/>
                <w:sz w:val="18"/>
                <w:szCs w:val="18"/>
              </w:rPr>
              <w:t xml:space="preserve">Sí</w:t>
            </w:r>
          </w:p>
        </w:tc>
      </w:tr>
      <w:tr>
        <w:tc>
          <w:tcPr>
            <w:tcW w:type="dxa" w:w="3000"/>
            <w:tcMar>
              <w:top w:type="dxa" w:w="60"/>
              <w:left w:type="dxa" w:w="90"/>
              <w:bottom w:type="dxa" w:w="60"/>
              <w:right w:type="dxa" w:w="90"/>
            </w:tcMar>
          </w:tcPr>
          <w:p>
            <w:pPr>
              <w:spacing w:after="0" w:line="250"/>
              <w:jc w:val="left"/>
            </w:pPr>
            <w:r>
              <w:rPr>
                <w:b w:val="false"/>
                <w:bCs w:val="false"/>
                <w:color w:val="000000"/>
                <w:sz w:val="18"/>
                <w:szCs w:val="18"/>
              </w:rPr>
              <w:t xml:space="preserve">AppendableJoiner</w:t>
            </w:r>
          </w:p>
        </w:tc>
        <w:tc>
          <w:tcPr>
            <w:tcW w:type="dxa" w:w="1800"/>
            <w:tcMar>
              <w:top w:type="dxa" w:w="60"/>
              <w:left w:type="dxa" w:w="90"/>
              <w:bottom w:type="dxa" w:w="60"/>
              <w:right w:type="dxa" w:w="90"/>
            </w:tcMar>
          </w:tcPr>
          <w:p>
            <w:pPr>
              <w:spacing w:after="0" w:line="250"/>
              <w:jc w:val="center"/>
            </w:pPr>
            <w:r>
              <w:rPr>
                <w:b w:val="false"/>
                <w:bCs w:val="false"/>
                <w:color w:val="000000"/>
                <w:sz w:val="18"/>
                <w:szCs w:val="18"/>
              </w:rPr>
              <w:t xml:space="preserve">Tranquilo</w:t>
            </w:r>
          </w:p>
        </w:tc>
        <w:tc>
          <w:tcPr>
            <w:tcW w:type="dxa" w:w="1800"/>
            <w:tcMar>
              <w:top w:type="dxa" w:w="60"/>
              <w:left w:type="dxa" w:w="90"/>
              <w:bottom w:type="dxa" w:w="60"/>
              <w:right w:type="dxa" w:w="90"/>
            </w:tcMar>
          </w:tcPr>
          <w:p>
            <w:pPr>
              <w:spacing w:after="0" w:line="250"/>
              <w:jc w:val="center"/>
            </w:pPr>
            <w:r>
              <w:rPr>
                <w:b w:val="false"/>
                <w:bCs w:val="false"/>
                <w:color w:val="000000"/>
                <w:sz w:val="18"/>
                <w:szCs w:val="18"/>
              </w:rPr>
              <w:t xml:space="preserve">3</w:t>
            </w:r>
          </w:p>
        </w:tc>
        <w:tc>
          <w:tcPr>
            <w:tcW w:type="dxa" w:w="1800"/>
            <w:tcMar>
              <w:top w:type="dxa" w:w="60"/>
              <w:left w:type="dxa" w:w="90"/>
              <w:bottom w:type="dxa" w:w="60"/>
              <w:right w:type="dxa" w:w="90"/>
            </w:tcMar>
          </w:tcPr>
          <w:p>
            <w:pPr>
              <w:spacing w:after="0" w:line="250"/>
              <w:jc w:val="center"/>
            </w:pPr>
            <w:r>
              <w:rPr>
                <w:b w:val="false"/>
                <w:bCs w:val="false"/>
                <w:color w:val="000000"/>
                <w:sz w:val="18"/>
                <w:szCs w:val="18"/>
              </w:rPr>
              <w:t xml:space="preserve">2</w:t>
            </w:r>
          </w:p>
        </w:tc>
        <w:tc>
          <w:tcPr>
            <w:tcW w:type="dxa" w:w="1200"/>
            <w:tcMar>
              <w:top w:type="dxa" w:w="60"/>
              <w:left w:type="dxa" w:w="90"/>
              <w:bottom w:type="dxa" w:w="60"/>
              <w:right w:type="dxa" w:w="90"/>
            </w:tcMar>
          </w:tcPr>
          <w:p>
            <w:pPr>
              <w:spacing w:after="0" w:line="250"/>
              <w:jc w:val="center"/>
            </w:pPr>
            <w:r>
              <w:rPr>
                <w:b w:val="false"/>
                <w:bCs w:val="false"/>
                <w:color w:val="000000"/>
                <w:sz w:val="18"/>
                <w:szCs w:val="18"/>
              </w:rPr>
              <w:t xml:space="preserve">Sí</w:t>
            </w:r>
          </w:p>
        </w:tc>
      </w:tr>
    </w:tbl>
    <w:p>
      <w:pPr>
        <w:spacing w:after="120" w:line="276"/>
      </w:pPr>
      <w:r>
        <w:rPr>
          <w:sz w:val="22"/>
          <w:szCs w:val="22"/>
        </w:rPr>
        <w:t xml:space="preserve">Los tres casos coincidieron, lo que respalda la confiabilidad del script de extracción.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eae14fe64b528501f5bfb01c823bf288340e9e.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dataset de evolución — Sprint 1</dc:title>
  <dc:creator>Análisis D3</dc:creator>
  <cp:lastModifiedBy>Un-named</cp:lastModifiedBy>
  <cp:revision>1</cp:revision>
  <dcterms:created xsi:type="dcterms:W3CDTF">2026-09-21T01:18:20.919Z</dcterms:created>
  <dcterms:modified xsi:type="dcterms:W3CDTF">2026-09-21T01:18:20.927Z</dcterms:modified>
</cp:coreProperties>
</file>

<file path=docProps/custom.xml><?xml version="1.0" encoding="utf-8"?>
<Properties xmlns="http://schemas.openxmlformats.org/officeDocument/2006/custom-properties" xmlns:vt="http://schemas.openxmlformats.org/officeDocument/2006/docPropsVTypes"/>
</file>