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5A2A83"/>
          <w:sz w:val="36"/>
          <w:szCs w:val="36"/>
        </w:rPr>
        <w:t xml:space="preserve">Cronograma de implementación</w:t>
      </w:r>
    </w:p>
    <w:p>
      <w:pPr>
        <w:spacing w:after="200"/>
      </w:pPr>
      <w:r>
        <w:rPr>
          <w:rFonts w:ascii="Calibri" w:cs="Calibri" w:eastAsia="Calibri" w:hAnsi="Calibri"/>
          <w:color w:val="1A2744"/>
          <w:sz w:val="24"/>
          <w:szCs w:val="24"/>
        </w:rPr>
        <w:t xml:space="preserve">Micrositio del Observatorio de las economías en las culturas, las artes y los saberes</w:t>
      </w:r>
    </w:p>
    <w:p>
      <w:pPr>
        <w:spacing w:after="40"/>
      </w:pPr>
      <w:r>
        <w:rPr>
          <w:rFonts w:ascii="Calibri" w:cs="Calibri" w:eastAsia="Calibri" w:hAnsi="Calibri"/>
          <w:b/>
          <w:bCs/>
          <w:color w:val="1A2744"/>
          <w:sz w:val="20"/>
          <w:szCs w:val="20"/>
        </w:rPr>
        <w:t xml:space="preserve">Solicitado por: </w:t>
      </w:r>
      <w:r>
        <w:rPr>
          <w:rFonts w:ascii="Calibri" w:cs="Calibri" w:eastAsia="Calibri" w:hAnsi="Calibri"/>
          <w:color w:val="536171"/>
          <w:sz w:val="20"/>
          <w:szCs w:val="20"/>
        </w:rPr>
        <w:t xml:space="preserve">Dirección de Estrategia, Desarrollo y Emprendimiento (DEDE)</w:t>
      </w:r>
    </w:p>
    <w:p>
      <w:pPr>
        <w:spacing w:after="40"/>
      </w:pPr>
      <w:r>
        <w:rPr>
          <w:rFonts w:ascii="Calibri" w:cs="Calibri" w:eastAsia="Calibri" w:hAnsi="Calibri"/>
          <w:b/>
          <w:bCs/>
          <w:color w:val="1A2744"/>
          <w:sz w:val="20"/>
          <w:szCs w:val="20"/>
        </w:rPr>
        <w:t xml:space="preserve">Elaborado por: </w:t>
      </w:r>
      <w:r>
        <w:rPr>
          <w:rFonts w:ascii="Calibri" w:cs="Calibri" w:eastAsia="Calibri" w:hAnsi="Calibri"/>
          <w:color w:val="536171"/>
          <w:sz w:val="20"/>
          <w:szCs w:val="20"/>
        </w:rPr>
        <w:t xml:space="preserve">Oficina Asesora de Comunicaciones — equipo web</w:t>
      </w:r>
    </w:p>
    <w:p>
      <w:pPr>
        <w:spacing w:after="40"/>
      </w:pPr>
      <w:r>
        <w:rPr>
          <w:rFonts w:ascii="Calibri" w:cs="Calibri" w:eastAsia="Calibri" w:hAnsi="Calibri"/>
          <w:b/>
          <w:bCs/>
          <w:color w:val="1A2744"/>
          <w:sz w:val="20"/>
          <w:szCs w:val="20"/>
        </w:rPr>
        <w:t xml:space="preserve">Fecha de elaboración: </w:t>
      </w:r>
      <w:r>
        <w:rPr>
          <w:rFonts w:ascii="Calibri" w:cs="Calibri" w:eastAsia="Calibri" w:hAnsi="Calibri"/>
          <w:color w:val="536171"/>
          <w:sz w:val="20"/>
          <w:szCs w:val="20"/>
        </w:rPr>
        <w:t xml:space="preserve">______________</w:t>
      </w:r>
    </w:p>
    <w:p>
      <w:pPr>
        <w:spacing w:after="60"/>
      </w:pPr>
    </w:p>
    <w:p>
      <w:pPr>
        <w:pBdr>
          <w:left w:val="single" w:color="F4C542" w:sz="18" w:space="8"/>
        </w:pBdr>
        <w:shd w:fill="F4F6F8" w:val="clear"/>
        <w:spacing w:before="80" w:after="160"/>
      </w:pPr>
      <w:r>
        <w:rPr>
          <w:rFonts w:ascii="Calibri" w:cs="Calibri" w:eastAsia="Calibri" w:hAnsi="Calibri"/>
          <w:i/>
          <w:iCs/>
          <w:color w:val="536171"/>
          <w:sz w:val="20"/>
          <w:szCs w:val="20"/>
        </w:rPr>
        <w:t xml:space="preserve">Este cronograma responde a la solicitud de la DEDE: actividades pendientes, tiempos previstos y fecha proyectada de la versión actualizada. Los tiempos se expresan en días hábiles desde el cierre de la etapa de definición.</w:t>
      </w:r>
    </w:p>
    <w:p>
      <w:pPr>
        <w:pStyle w:val="Heading1"/>
        <w:spacing w:before="280" w:after="120"/>
      </w:pPr>
      <w:r>
        <w:rPr>
          <w:rFonts w:ascii="Calibri" w:cs="Calibri" w:eastAsia="Calibri" w:hAnsi="Calibri"/>
          <w:b/>
          <w:bCs/>
          <w:color w:val="1A2744"/>
          <w:sz w:val="26"/>
          <w:szCs w:val="26"/>
        </w:rPr>
        <w:t xml:space="preserve">1. Estado actual</w:t>
      </w:r>
    </w:p>
    <w:p>
      <w:pPr>
        <w:pStyle w:val="ListParagraph"/>
        <w:numPr>
          <w:ilvl w:val="0"/>
          <w:numId w:val="1"/>
        </w:numPr>
        <w:spacing w:after="40"/>
      </w:pPr>
      <w:r>
        <w:rPr>
          <w:rFonts w:ascii="Calibri" w:cs="Calibri" w:eastAsia="Calibri" w:hAnsi="Calibri"/>
          <w:sz w:val="21"/>
          <w:szCs w:val="21"/>
        </w:rPr>
        <w:t xml:space="preserve">El micrositio está maquetado en su versión de trabajo, con las cuatro líneas estratégicas definidas por la DEDE (Mediciones, Publicaciones, Investigaciones y Repositorio) más la vista de inicio.</w:t>
      </w:r>
    </w:p>
    <w:p>
      <w:pPr>
        <w:pStyle w:val="ListParagraph"/>
        <w:numPr>
          <w:ilvl w:val="0"/>
          <w:numId w:val="1"/>
        </w:numPr>
        <w:spacing w:after="40"/>
      </w:pPr>
      <w:r>
        <w:rPr>
          <w:rFonts w:ascii="Calibri" w:cs="Calibri" w:eastAsia="Calibri" w:hAnsi="Calibri"/>
          <w:sz w:val="21"/>
          <w:szCs w:val="21"/>
        </w:rPr>
        <w:t xml:space="preserve">El Grupo de Gestión del Conocimiento entregó los cinco mockups y la matriz de montaje con los contenidos definitivos.</w:t>
      </w:r>
    </w:p>
    <w:p>
      <w:pPr>
        <w:pStyle w:val="ListParagraph"/>
        <w:numPr>
          <w:ilvl w:val="0"/>
          <w:numId w:val="1"/>
        </w:numPr>
        <w:spacing w:after="40"/>
      </w:pPr>
      <w:r>
        <w:rPr>
          <w:rFonts w:ascii="Calibri" w:cs="Calibri" w:eastAsia="Calibri" w:hAnsi="Calibri"/>
          <w:sz w:val="21"/>
          <w:szCs w:val="21"/>
        </w:rPr>
        <w:t xml:space="preserve">El equipo web completó la revisión y el cruce de cada sección contra la matriz y los mockups; los textos definitivos están organizados para su incorporación.</w:t>
      </w:r>
    </w:p>
    <w:p>
      <w:pPr>
        <w:pStyle w:val="ListParagraph"/>
        <w:numPr>
          <w:ilvl w:val="0"/>
          <w:numId w:val="1"/>
        </w:numPr>
        <w:spacing w:after="40"/>
      </w:pPr>
      <w:r>
        <w:rPr>
          <w:rFonts w:ascii="Calibri" w:cs="Calibri" w:eastAsia="Calibri" w:hAnsi="Calibri"/>
          <w:sz w:val="21"/>
          <w:szCs w:val="21"/>
        </w:rPr>
        <w:t xml:space="preserve">Etapa actual: definición previa al montaje, articulada entre la DEDE, Comunicaciones y el Grupo de Divulgación y Prensa.</w:t>
      </w:r>
    </w:p>
    <w:p>
      <w:pPr>
        <w:pStyle w:val="Heading1"/>
        <w:spacing w:before="280" w:after="120"/>
      </w:pPr>
      <w:r>
        <w:rPr>
          <w:rFonts w:ascii="Calibri" w:cs="Calibri" w:eastAsia="Calibri" w:hAnsi="Calibri"/>
          <w:b/>
          <w:bCs/>
          <w:color w:val="1A2744"/>
          <w:sz w:val="26"/>
          <w:szCs w:val="26"/>
        </w:rPr>
        <w:t xml:space="preserve">2. Etapa de definición (en curso)</w:t>
      </w:r>
    </w:p>
    <w:p>
      <w:pPr>
        <w:spacing w:after="100"/>
      </w:pPr>
      <w:r>
        <w:rPr>
          <w:rFonts w:ascii="Calibri" w:cs="Calibri" w:eastAsia="Calibri" w:hAnsi="Calibri"/>
          <w:i w:val="false"/>
          <w:iCs w:val="false"/>
          <w:color w:val="000000"/>
          <w:sz w:val="21"/>
          <w:szCs w:val="21"/>
        </w:rPr>
        <w:t xml:space="preserve">Estos insumos se articulan entre los equipos; al cerrarlos se habilita el montaje.</w:t>
      </w:r>
    </w:p>
    <w:tbl>
      <w:tblPr>
        <w:tblW w:type="pct" w:w="100%"/>
        <w:tblBorders>
          <w:top w:val="single" w:color="D7DDE5" w:sz="4"/>
          <w:left w:val="single" w:color="D7DDE5" w:sz="4"/>
          <w:bottom w:val="single" w:color="D7DDE5" w:sz="4"/>
          <w:right w:val="single" w:color="D7DDE5" w:sz="4"/>
          <w:insideH w:val="single" w:color="D7DDE5" w:sz="4"/>
          <w:insideV w:val="single" w:color="D7DDE5" w:sz="4"/>
        </w:tblBorders>
      </w:tblPr>
      <w:tblGrid>
        <w:gridCol w:w="100"/>
        <w:gridCol w:w="100"/>
        <w:gridCol w:w="100"/>
        <w:gridCol w:w="100"/>
      </w:tblGrid>
      <w:tr>
        <w:trPr>
          <w:tblHeader/>
        </w:trPr>
        <w:tc>
          <w:tcPr>
            <w:tcW w:type="pct" w:w="6%"/>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pct" w:w="44%"/>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Insumo</w:t>
            </w:r>
          </w:p>
        </w:tc>
        <w:tc>
          <w:tcPr>
            <w:tcW w:type="pct" w:w="32%"/>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Responsable</w:t>
            </w:r>
          </w:p>
        </w:tc>
        <w:tc>
          <w:tcPr>
            <w:tcW w:type="pct" w:w="18%"/>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w:t>
            </w:r>
          </w:p>
        </w:tc>
        <w:tc>
          <w:tcPr>
            <w:tcW w:type="pct" w:w="4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Cinco mockups de referencia</w:t>
            </w:r>
          </w:p>
        </w:tc>
        <w:tc>
          <w:tcPr>
            <w:tcW w:type="pct" w:w="3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DEDE — Gestión del Conocimiento</w:t>
            </w:r>
          </w:p>
        </w:tc>
        <w:tc>
          <w:tcPr>
            <w:tcW w:type="pct" w:w="1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Entregados y revisados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2</w:t>
            </w:r>
          </w:p>
        </w:tc>
        <w:tc>
          <w:tcPr>
            <w:tcW w:type="pct" w:w="4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Matriz de montaje (contenidos definitivos)</w:t>
            </w:r>
          </w:p>
        </w:tc>
        <w:tc>
          <w:tcPr>
            <w:tcW w:type="pct" w:w="3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DEDE — Gestión del Conocimiento</w:t>
            </w:r>
          </w:p>
        </w:tc>
        <w:tc>
          <w:tcPr>
            <w:tcW w:type="pct" w:w="1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Entregada y revisada</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3</w:t>
            </w:r>
          </w:p>
        </w:tc>
        <w:tc>
          <w:tcPr>
            <w:tcW w:type="pct" w:w="4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Línea gráfica definitiva, articulada con el nuevo Manual de identidad del Ministerio</w:t>
            </w:r>
          </w:p>
        </w:tc>
        <w:tc>
          <w:tcPr>
            <w:tcW w:type="pct" w:w="3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Grupo de Divulgación y Prensa</w:t>
            </w:r>
          </w:p>
        </w:tc>
        <w:tc>
          <w:tcPr>
            <w:tcW w:type="pct" w:w="1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En definición</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4</w:t>
            </w:r>
          </w:p>
        </w:tc>
        <w:tc>
          <w:tcPr>
            <w:tcW w:type="pct" w:w="4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Recursos (documentos, imágenes) con enlace público de consulta</w:t>
            </w:r>
          </w:p>
        </w:tc>
        <w:tc>
          <w:tcPr>
            <w:tcW w:type="pct" w:w="3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DEDE</w:t>
            </w:r>
          </w:p>
        </w:tc>
        <w:tc>
          <w:tcPr>
            <w:tcW w:type="pct" w:w="1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Pendiente</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5</w:t>
            </w:r>
          </w:p>
        </w:tc>
        <w:tc>
          <w:tcPr>
            <w:tcW w:type="pct" w:w="4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Decisiones puntuales de contenido y alcance</w:t>
            </w:r>
          </w:p>
        </w:tc>
        <w:tc>
          <w:tcPr>
            <w:tcW w:type="pct" w:w="3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DEDE / Comunicaciones</w:t>
            </w:r>
          </w:p>
        </w:tc>
        <w:tc>
          <w:tcPr>
            <w:tcW w:type="pct" w:w="1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En revisión</w:t>
            </w:r>
          </w:p>
        </w:tc>
      </w:tr>
    </w:tbl>
    <w:p>
      <w:pPr>
        <w:pStyle w:val="Heading1"/>
        <w:spacing w:before="280" w:after="120"/>
      </w:pPr>
      <w:r>
        <w:rPr>
          <w:rFonts w:ascii="Calibri" w:cs="Calibri" w:eastAsia="Calibri" w:hAnsi="Calibri"/>
          <w:b/>
          <w:bCs/>
          <w:color w:val="1A2744"/>
          <w:sz w:val="26"/>
          <w:szCs w:val="26"/>
        </w:rPr>
        <w:t xml:space="preserve">3. Actividades pendientes y tiempos previstos (fase de montaje)</w:t>
      </w:r>
    </w:p>
    <w:p>
      <w:pPr>
        <w:pBdr>
          <w:left w:val="single" w:color="F4C542" w:sz="18" w:space="8"/>
        </w:pBdr>
        <w:shd w:fill="F4F6F8" w:val="clear"/>
        <w:spacing w:before="80" w:after="160"/>
      </w:pPr>
      <w:r>
        <w:rPr>
          <w:rFonts w:ascii="Calibri" w:cs="Calibri" w:eastAsia="Calibri" w:hAnsi="Calibri"/>
          <w:i/>
          <w:iCs/>
          <w:color w:val="536171"/>
          <w:sz w:val="20"/>
          <w:szCs w:val="20"/>
        </w:rPr>
        <w:t xml:space="preserve">Días hábiles de trabajo efectivo del equipo web. No incluyen los tiempos de validación de contenidos por parte de la DEDE ni la espera de insumos de la etapa de definición. Las estimaciones incluyen un 40% de holgura.</w:t>
      </w:r>
    </w:p>
    <w:tbl>
      <w:tblPr>
        <w:tblW w:type="pct" w:w="100%"/>
        <w:tblBorders>
          <w:top w:val="single" w:color="D7DDE5" w:sz="4"/>
          <w:left w:val="single" w:color="D7DDE5" w:sz="4"/>
          <w:bottom w:val="single" w:color="D7DDE5" w:sz="4"/>
          <w:right w:val="single" w:color="D7DDE5" w:sz="4"/>
          <w:insideH w:val="single" w:color="D7DDE5" w:sz="4"/>
          <w:insideV w:val="single" w:color="D7DDE5" w:sz="4"/>
        </w:tblBorders>
      </w:tblPr>
      <w:tblGrid>
        <w:gridCol w:w="100"/>
        <w:gridCol w:w="100"/>
        <w:gridCol w:w="100"/>
      </w:tblGrid>
      <w:tr>
        <w:trPr>
          <w:tblHeader/>
        </w:trPr>
        <w:tc>
          <w:tcPr>
            <w:tcW w:type="pct" w:w="6%"/>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pct" w:w="74%"/>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Actividad</w:t>
            </w:r>
          </w:p>
        </w:tc>
        <w:tc>
          <w:tcPr>
            <w:tcW w:type="pct" w:w="20%"/>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Tiempo</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Base compartida: identidad visual y elementos comunes (encabezado, menú, pie)</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1,5–3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2</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Sección Observatorio (inicio): reestructuración a la nueva propuesta</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1,5–3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3</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Sección Mediciones: incorporación del Cuadernillo de Consumo Cultural 2025</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4</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Sección Publicaciones: reordenamiento e integración de Herramientas, Revistas y Mapas</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3–4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5</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Sección Investigaciones</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6</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Sección Repositorio (integración documental)</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1,5–3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7</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Depuración de secciones fuera de alcance</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~0,7 día</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8</w:t>
            </w:r>
          </w:p>
        </w:tc>
        <w:tc>
          <w:tcPr>
            <w:tcW w:type="pct" w:w="7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Auditoría final: enlaces, accesibilidad y revisión editorial/funcional</w:t>
            </w:r>
          </w:p>
        </w:tc>
        <w:tc>
          <w:tcPr>
            <w:tcW w:type="pct" w:w="2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 días</w:t>
            </w:r>
          </w:p>
        </w:tc>
      </w:tr>
      <w:tr>
        <w:tc>
          <w:tcPr>
            <w:tcW w:type="pct" w:w="6%"/>
            <w:tcMar>
              <w:top w:type="dxa" w:w="60"/>
              <w:left w:type="dxa" w:w="100"/>
              <w:bottom w:type="dxa" w:w="60"/>
              <w:right w:type="dxa" w:w="100"/>
            </w:tcMar>
          </w:tcPr>
          <w:p>
            <w:r>
              <w:rPr>
                <w:rFonts w:ascii="Calibri" w:cs="Calibri" w:eastAsia="Calibri" w:hAnsi="Calibri"/>
                <w:b/>
                <w:bCs/>
                <w:color w:val="000000"/>
                <w:sz w:val="20"/>
                <w:szCs w:val="20"/>
              </w:rPr>
              <w:t xml:space="preserve"/>
            </w:r>
          </w:p>
        </w:tc>
        <w:tc>
          <w:tcPr>
            <w:tcW w:type="pct" w:w="74%"/>
            <w:tcMar>
              <w:top w:type="dxa" w:w="60"/>
              <w:left w:type="dxa" w:w="100"/>
              <w:bottom w:type="dxa" w:w="60"/>
              <w:right w:type="dxa" w:w="100"/>
            </w:tcMar>
          </w:tcPr>
          <w:p>
            <w:r>
              <w:rPr>
                <w:rFonts w:ascii="Calibri" w:cs="Calibri" w:eastAsia="Calibri" w:hAnsi="Calibri"/>
                <w:b/>
                <w:bCs/>
                <w:color w:val="000000"/>
                <w:sz w:val="20"/>
                <w:szCs w:val="20"/>
              </w:rPr>
              <w:t xml:space="preserve">Total montaje</w:t>
            </w:r>
          </w:p>
        </w:tc>
        <w:tc>
          <w:tcPr>
            <w:tcW w:type="pct" w:w="20%"/>
            <w:tcMar>
              <w:top w:type="dxa" w:w="60"/>
              <w:left w:type="dxa" w:w="100"/>
              <w:bottom w:type="dxa" w:w="60"/>
              <w:right w:type="dxa" w:w="100"/>
            </w:tcMar>
          </w:tcPr>
          <w:p>
            <w:r>
              <w:rPr>
                <w:rFonts w:ascii="Calibri" w:cs="Calibri" w:eastAsia="Calibri" w:hAnsi="Calibri"/>
                <w:b/>
                <w:bCs/>
                <w:color w:val="000000"/>
                <w:sz w:val="20"/>
                <w:szCs w:val="20"/>
              </w:rPr>
              <w:t xml:space="preserve">~11–17 días hábiles</w:t>
            </w:r>
          </w:p>
        </w:tc>
      </w:tr>
    </w:tbl>
    <w:p>
      <w:pPr>
        <w:pStyle w:val="Heading1"/>
        <w:spacing w:before="280" w:after="120"/>
      </w:pPr>
      <w:r>
        <w:rPr>
          <w:rFonts w:ascii="Calibri" w:cs="Calibri" w:eastAsia="Calibri" w:hAnsi="Calibri"/>
          <w:b/>
          <w:bCs/>
          <w:color w:val="1A2744"/>
          <w:sz w:val="26"/>
          <w:szCs w:val="26"/>
        </w:rPr>
        <w:t xml:space="preserve">4. Fase de validación y publicación</w:t>
      </w:r>
    </w:p>
    <w:tbl>
      <w:tblPr>
        <w:tblW w:type="pct" w:w="100%"/>
        <w:tblBorders>
          <w:top w:val="single" w:color="D7DDE5" w:sz="4"/>
          <w:left w:val="single" w:color="D7DDE5" w:sz="4"/>
          <w:bottom w:val="single" w:color="D7DDE5" w:sz="4"/>
          <w:right w:val="single" w:color="D7DDE5" w:sz="4"/>
          <w:insideH w:val="single" w:color="D7DDE5" w:sz="4"/>
          <w:insideV w:val="single" w:color="D7DDE5" w:sz="4"/>
        </w:tblBorders>
      </w:tblPr>
      <w:tblGrid>
        <w:gridCol w:w="100"/>
        <w:gridCol w:w="100"/>
        <w:gridCol w:w="100"/>
        <w:gridCol w:w="100"/>
      </w:tblGrid>
      <w:tr>
        <w:trPr>
          <w:tblHeader/>
        </w:trPr>
        <w:tc>
          <w:tcPr>
            <w:tcW w:type="pct" w:w="6%"/>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pct" w:w="42%"/>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Actividad</w:t>
            </w:r>
          </w:p>
        </w:tc>
        <w:tc>
          <w:tcPr>
            <w:tcW w:type="pct" w:w="28%"/>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Responsable</w:t>
            </w:r>
          </w:p>
        </w:tc>
        <w:tc>
          <w:tcPr>
            <w:tcW w:type="pct" w:w="24%"/>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Tiempo estimado</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9</w:t>
            </w:r>
          </w:p>
        </w:tc>
        <w:tc>
          <w:tcPr>
            <w:tcW w:type="pct" w:w="4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Revisión y validación final de contenidos</w:t>
            </w:r>
          </w:p>
        </w:tc>
        <w:tc>
          <w:tcPr>
            <w:tcW w:type="pct" w:w="2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DEDE / Comunicaciones</w:t>
            </w:r>
          </w:p>
        </w:tc>
        <w:tc>
          <w:tcPr>
            <w:tcW w:type="pct" w:w="2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Según disponibilidad del área</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10</w:t>
            </w:r>
          </w:p>
        </w:tc>
        <w:tc>
          <w:tcPr>
            <w:tcW w:type="pct" w:w="4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Ajustes derivados de la validación</w:t>
            </w:r>
          </w:p>
        </w:tc>
        <w:tc>
          <w:tcPr>
            <w:tcW w:type="pct" w:w="2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Equipo web</w:t>
            </w:r>
          </w:p>
        </w:tc>
        <w:tc>
          <w:tcPr>
            <w:tcW w:type="pct" w:w="2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1,5–3 días</w:t>
            </w:r>
          </w:p>
        </w:tc>
      </w:tr>
      <w:tr>
        <w:tc>
          <w:tcPr>
            <w:tcW w:type="pct" w:w="6%"/>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11</w:t>
            </w:r>
          </w:p>
        </w:tc>
        <w:tc>
          <w:tcPr>
            <w:tcW w:type="pct" w:w="42%"/>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Publicación de la versión actualizada</w:t>
            </w:r>
          </w:p>
        </w:tc>
        <w:tc>
          <w:tcPr>
            <w:tcW w:type="pct" w:w="28%"/>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Equipo web</w:t>
            </w:r>
          </w:p>
        </w:tc>
        <w:tc>
          <w:tcPr>
            <w:tcW w:type="pct" w:w="24%"/>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~0,7 día</w:t>
            </w:r>
          </w:p>
        </w:tc>
      </w:tr>
    </w:tbl>
    <w:p>
      <w:pPr>
        <w:pStyle w:val="Heading1"/>
        <w:spacing w:before="280" w:after="120"/>
      </w:pPr>
      <w:r>
        <w:rPr>
          <w:rFonts w:ascii="Calibri" w:cs="Calibri" w:eastAsia="Calibri" w:hAnsi="Calibri"/>
          <w:b/>
          <w:bCs/>
          <w:color w:val="1A2744"/>
          <w:sz w:val="26"/>
          <w:szCs w:val="26"/>
        </w:rPr>
        <w:t xml:space="preserve">5. Fecha proyectada (condicionada)</w:t>
      </w:r>
    </w:p>
    <w:p>
      <w:pPr>
        <w:spacing w:after="100"/>
      </w:pPr>
      <w:r>
        <w:rPr>
          <w:rFonts w:ascii="Calibri" w:cs="Calibri" w:eastAsia="Calibri" w:hAnsi="Calibri"/>
          <w:i w:val="false"/>
          <w:iCs w:val="false"/>
          <w:color w:val="000000"/>
          <w:sz w:val="21"/>
          <w:szCs w:val="21"/>
        </w:rPr>
        <w:t xml:space="preserve">No es posible fijar una fecha de calendario firme hasta cerrar la etapa de definición, porque el montaje arranca cuando esos insumos están disponibles. Expresado como proyección:</w:t>
      </w:r>
    </w:p>
    <w:p>
      <w:pPr>
        <w:pStyle w:val="ListParagraph"/>
        <w:numPr>
          <w:ilvl w:val="0"/>
          <w:numId w:val="1"/>
        </w:numPr>
        <w:spacing w:after="40"/>
      </w:pPr>
      <w:r>
        <w:rPr>
          <w:rFonts w:ascii="Calibri" w:cs="Calibri" w:eastAsia="Calibri" w:hAnsi="Calibri"/>
          <w:sz w:val="21"/>
          <w:szCs w:val="21"/>
        </w:rPr>
        <w:t xml:space="preserve">Versión actualizada lista para revisión final: ~3 a 4 semanas hábiles desde el cierre de la etapa de definición (montaje + primera pasada de ajustes).</w:t>
      </w:r>
    </w:p>
    <w:p>
      <w:pPr>
        <w:pStyle w:val="ListParagraph"/>
        <w:numPr>
          <w:ilvl w:val="0"/>
          <w:numId w:val="1"/>
        </w:numPr>
        <w:spacing w:after="40"/>
      </w:pPr>
      <w:r>
        <w:rPr>
          <w:rFonts w:ascii="Calibri" w:cs="Calibri" w:eastAsia="Calibri" w:hAnsi="Calibri"/>
          <w:sz w:val="21"/>
          <w:szCs w:val="21"/>
        </w:rPr>
        <w:t xml:space="preserve">Publicación: sujeta a la validación final de contenidos por parte de la DEDE y el Grupo de Divulgación y Prensa.</w:t>
      </w:r>
    </w:p>
    <w:p>
      <w:pPr>
        <w:spacing w:after="60"/>
      </w:pPr>
    </w:p>
    <w:p>
      <w:pPr>
        <w:spacing w:after="100"/>
      </w:pPr>
      <w:r>
        <w:rPr>
          <w:rFonts w:ascii="Calibri" w:cs="Calibri" w:eastAsia="Calibri" w:hAnsi="Calibri"/>
          <w:i w:val="false"/>
          <w:iCs w:val="false"/>
          <w:color w:val="000000"/>
          <w:sz w:val="21"/>
          <w:szCs w:val="21"/>
        </w:rPr>
        <w:t xml:space="preserve">Proyección a completar cuando se tenga la fecha de cierre de la etapa de definición:</w:t>
      </w:r>
    </w:p>
    <w:tbl>
      <w:tblPr>
        <w:tblW w:type="pct" w:w="100%"/>
        <w:tblBorders>
          <w:top w:val="single" w:color="D7DDE5" w:sz="4"/>
          <w:left w:val="single" w:color="D7DDE5" w:sz="4"/>
          <w:bottom w:val="single" w:color="D7DDE5" w:sz="4"/>
          <w:right w:val="single" w:color="D7DDE5" w:sz="4"/>
          <w:insideH w:val="single" w:color="D7DDE5" w:sz="4"/>
          <w:insideV w:val="single" w:color="D7DDE5" w:sz="4"/>
        </w:tblBorders>
      </w:tblPr>
      <w:tblGrid>
        <w:gridCol w:w="100"/>
        <w:gridCol w:w="100"/>
      </w:tblGrid>
      <w:tr>
        <w:trPr>
          <w:tblHeader/>
        </w:trPr>
        <w:tc>
          <w:tcPr>
            <w:tcW w:type="pct" w:w="60%"/>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Hito</w:t>
            </w:r>
          </w:p>
        </w:tc>
        <w:tc>
          <w:tcPr>
            <w:tcW w:type="pct" w:w="40%"/>
            <w:shd w:fill="5A2A83" w:val="clear"/>
            <w:tcMar>
              <w:top w:type="dxa" w:w="60"/>
              <w:left w:type="dxa" w:w="100"/>
              <w:bottom w:type="dxa" w:w="60"/>
              <w:right w:type="dxa" w:w="100"/>
            </w:tcMar>
          </w:tcPr>
          <w:p>
            <w:r>
              <w:rPr>
                <w:rFonts w:ascii="Calibri" w:cs="Calibri" w:eastAsia="Calibri" w:hAnsi="Calibri"/>
                <w:b/>
                <w:bCs/>
                <w:color w:val="FFFFFF"/>
                <w:sz w:val="20"/>
                <w:szCs w:val="20"/>
              </w:rPr>
              <w:t xml:space="preserve">Fecha</w:t>
            </w:r>
          </w:p>
        </w:tc>
      </w:tr>
      <w:tr>
        <w:tc>
          <w:tcPr>
            <w:tcW w:type="pct" w:w="6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Cierre de la etapa de definición (insumos listos)</w:t>
            </w:r>
          </w:p>
        </w:tc>
        <w:tc>
          <w:tcPr>
            <w:tcW w:type="pct" w:w="4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______________</w:t>
            </w:r>
          </w:p>
        </w:tc>
      </w:tr>
      <w:tr>
        <w:tc>
          <w:tcPr>
            <w:tcW w:type="pct" w:w="6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Entrega de la versión actualizada para revisión</w:t>
            </w:r>
          </w:p>
        </w:tc>
        <w:tc>
          <w:tcPr>
            <w:tcW w:type="pct" w:w="4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______________ (≈ +3–4 semanas hábiles)</w:t>
            </w:r>
          </w:p>
        </w:tc>
      </w:tr>
      <w:tr>
        <w:tc>
          <w:tcPr>
            <w:tcW w:type="pct" w:w="6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Validación final de contenidos (DEDE)</w:t>
            </w:r>
          </w:p>
        </w:tc>
        <w:tc>
          <w:tcPr>
            <w:tcW w:type="pct" w:w="4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______________</w:t>
            </w:r>
          </w:p>
        </w:tc>
      </w:tr>
      <w:tr>
        <w:tc>
          <w:tcPr>
            <w:tcW w:type="pct" w:w="6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Publicación</w:t>
            </w:r>
          </w:p>
        </w:tc>
        <w:tc>
          <w:tcPr>
            <w:tcW w:type="pct" w:w="40%"/>
            <w:tcMar>
              <w:top w:type="dxa" w:w="60"/>
              <w:left w:type="dxa" w:w="100"/>
              <w:bottom w:type="dxa" w:w="60"/>
              <w:right w:type="dxa" w:w="100"/>
            </w:tcMar>
          </w:tcPr>
          <w:p>
            <w:r>
              <w:rPr>
                <w:rFonts w:ascii="Calibri" w:cs="Calibri" w:eastAsia="Calibri" w:hAnsi="Calibri"/>
                <w:b w:val="function bold() { [native code] }"/>
                <w:bCs w:val="function bold() { [native code] }"/>
                <w:color w:val="000000"/>
                <w:sz w:val="20"/>
                <w:szCs w:val="20"/>
              </w:rPr>
              <w:t xml:space="preserve">______________</w:t>
            </w:r>
          </w:p>
        </w:tc>
      </w:tr>
    </w:tbl>
    <w:p>
      <w:pPr>
        <w:pStyle w:val="Heading1"/>
        <w:spacing w:before="280" w:after="120"/>
      </w:pPr>
      <w:r>
        <w:rPr>
          <w:rFonts w:ascii="Calibri" w:cs="Calibri" w:eastAsia="Calibri" w:hAnsi="Calibri"/>
          <w:b/>
          <w:bCs/>
          <w:color w:val="1A2744"/>
          <w:sz w:val="26"/>
          <w:szCs w:val="26"/>
        </w:rPr>
        <w:t xml:space="preserve">6. Nota de seguimiento</w:t>
      </w:r>
    </w:p>
    <w:p>
      <w:pPr>
        <w:spacing w:after="100"/>
      </w:pPr>
      <w:r>
        <w:rPr>
          <w:rFonts w:ascii="Calibri" w:cs="Calibri" w:eastAsia="Calibri" w:hAnsi="Calibri"/>
          <w:i w:val="false"/>
          <w:iCs w:val="false"/>
          <w:color w:val="000000"/>
          <w:sz w:val="21"/>
          <w:szCs w:val="21"/>
        </w:rPr>
        <w:t xml:space="preserve">Para un seguimiento articulado entre los equipos, se sugiere fijar el cierre de la etapa de definición en la próxima mesa de trabajo. Con esa fecha, el equipo web convierte este cronograma condicionado en fechas de calendario concretas.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Cronograma de implementación — Micrositio del Observatorio</dc:title>
  <dc:creator>Oficina Asesora de Comunicaciones — equipo web</dc:creator>
  <cp:lastModifiedBy>Un-named</cp:lastModifiedBy>
  <cp:revision>1</cp:revision>
  <dcterms:created xsi:type="dcterms:W3CDTF">2026-10-20T14:20:39.081Z</dcterms:created>
  <dcterms:modified xsi:type="dcterms:W3CDTF">2026-10-20T14:20:39.082Z</dcterms:modified>
</cp:coreProperties>
</file>

<file path=docProps/custom.xml><?xml version="1.0" encoding="utf-8"?>
<Properties xmlns="http://schemas.openxmlformats.org/officeDocument/2006/custom-properties" xmlns:vt="http://schemas.openxmlformats.org/officeDocument/2006/docPropsVTypes"/>
</file>