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 w:after="60"/>
      </w:pPr>
    </w:p>
    <w:p>
      <w:pPr>
        <w:spacing w:before="60" w:after="60"/>
      </w:pPr>
    </w:p>
    <w:p>
      <w:pPr>
        <w:spacing w:before="60" w:after="60"/>
      </w:pPr>
    </w:p>
    <w:p>
      <w:pPr>
        <w:spacing w:before="60" w:after="60"/>
      </w:pPr>
    </w:p>
    <w:p>
      <w:pPr>
        <w:spacing w:before="60" w:after="60"/>
      </w:pPr>
    </w:p>
    <w:p>
      <w:pPr>
        <w:spacing w:before="60" w:after="60"/>
      </w:pPr>
    </w:p>
    <w:p>
      <w:pPr>
        <w:jc w:val="center"/>
      </w:pPr>
      <w:r>
        <w:rPr>
          <w:rFonts w:ascii="黑体" w:hAnsi="黑体" w:eastAsia="黑体"/>
          <w:b/>
          <w:sz w:val="44"/>
        </w:rPr>
        <w:t>硕士论文开题报告题目综合分析</w:t>
      </w:r>
    </w:p>
    <w:p>
      <w:pPr>
        <w:spacing w:before="60" w:after="60"/>
      </w:pPr>
    </w:p>
    <w:p>
      <w:pPr>
        <w:jc w:val="center"/>
      </w:pPr>
      <w:r>
        <w:rPr>
          <w:rFonts w:ascii="楷体" w:hAnsi="楷体" w:eastAsia="楷体"/>
          <w:sz w:val="32"/>
        </w:rPr>
        <w:t>——基于多源数据融合的统计监测方法研究</w:t>
      </w:r>
    </w:p>
    <w:p>
      <w:pPr>
        <w:spacing w:before="60" w:after="60"/>
      </w:pPr>
    </w:p>
    <w:p>
      <w:pPr>
        <w:spacing w:before="60" w:after="60"/>
      </w:pPr>
    </w:p>
    <w:p>
      <w:pPr>
        <w:spacing w:before="60" w:after="60"/>
      </w:pPr>
    </w:p>
    <w:p>
      <w:pPr>
        <w:spacing w:before="60" w:after="60"/>
      </w:pPr>
    </w:p>
    <w:p>
      <w:pPr>
        <w:jc w:val="center"/>
      </w:pPr>
      <w:r>
        <w:rPr>
          <w:rFonts w:ascii="宋体" w:hAnsi="宋体" w:eastAsia="宋体"/>
          <w:sz w:val="28"/>
        </w:rPr>
        <w:t>导师：刘亚文</w:t>
      </w:r>
    </w:p>
    <w:p>
      <w:pPr>
        <w:spacing w:before="60" w:after="60"/>
      </w:pPr>
    </w:p>
    <w:p>
      <w:pPr>
        <w:jc w:val="center"/>
      </w:pPr>
      <w:r>
        <w:rPr>
          <w:rFonts w:ascii="宋体" w:hAnsi="宋体" w:eastAsia="宋体"/>
          <w:sz w:val="28"/>
        </w:rPr>
        <w:t>对外经济贸易大学 统计学院</w:t>
      </w:r>
    </w:p>
    <w:p>
      <w:pPr>
        <w:spacing w:before="60" w:after="60"/>
      </w:pPr>
    </w:p>
    <w:p>
      <w:pPr>
        <w:jc w:val="center"/>
      </w:pPr>
      <w:r>
        <w:rPr>
          <w:rFonts w:ascii="宋体" w:hAnsi="宋体" w:eastAsia="宋体"/>
          <w:sz w:val="28"/>
        </w:rPr>
        <w:t>2026年5月</w:t>
      </w:r>
    </w:p>
    <w:p>
      <w:r>
        <w:br w:type="page"/>
      </w:r>
    </w:p>
    <w:p>
      <w:pPr>
        <w:spacing w:before="360" w:after="240"/>
      </w:pPr>
      <w:r>
        <w:rPr>
          <w:rFonts w:ascii="黑体" w:hAnsi="黑体" w:eastAsia="黑体"/>
          <w:b/>
          <w:sz w:val="32"/>
        </w:rPr>
        <w:t>第一章  文献逻辑结构与写作思路分析</w:t>
      </w:r>
    </w:p>
    <w:p>
      <w:pPr>
        <w:spacing w:before="240" w:after="120"/>
      </w:pPr>
      <w:r>
        <w:rPr>
          <w:rFonts w:ascii="黑体" w:hAnsi="黑体" w:eastAsia="黑体"/>
          <w:b/>
          <w:sz w:val="28"/>
        </w:rPr>
        <w:t>1.1  论文3：公共数据开放赋能企业新质生产力发展（刘艳霞等）</w:t>
      </w:r>
    </w:p>
    <w:p>
      <w:pPr>
        <w:spacing w:line="360" w:lineRule="auto" w:before="60" w:after="60"/>
        <w:ind w:firstLine="480"/>
        <w:jc w:val="both"/>
      </w:pPr>
      <w:r>
        <w:rPr>
          <w:rFonts w:ascii="宋体" w:hAnsi="宋体" w:eastAsia="宋体"/>
          <w:b w:val="0"/>
          <w:i w:val="0"/>
          <w:sz w:val="24"/>
        </w:rPr>
        <w:t>该论文以沪深A股上市公司（2011—2023年）为研究对象，采用多期双重差分模型（DID），将公共数据开放平台的上线作为准自然实验，实证检验公共数据开放对企业新质生产力发展的影响。在变量设计上，被解释变量为企业新质生产力水平，采用熵值法从新型劳动者、新型劳动对象、新型劳动资料三个维度共13个三级指标进行综合测度；核心解释变量为公共数据开放虚拟变量（treat×time），即处理组在政策实施后取值为1，否则为0。</w:t>
      </w:r>
    </w:p>
    <w:p>
      <w:pPr>
        <w:spacing w:line="360" w:lineRule="auto" w:before="60" w:after="60"/>
        <w:ind w:firstLine="480"/>
        <w:jc w:val="both"/>
      </w:pPr>
      <w:r>
        <w:rPr>
          <w:rFonts w:ascii="宋体" w:hAnsi="宋体" w:eastAsia="宋体"/>
          <w:b w:val="0"/>
          <w:i w:val="0"/>
          <w:sz w:val="24"/>
        </w:rPr>
        <w:t>在机制检验方面，论文提出了“人才—技术—信息”三维度资源效应框架，分别通过人才集聚效应（以劳动生产率衡量）、技术提升效应（以数字技术创新词频衡量）和信息增量效应（以流动性比率主成分衡量）三条路径，采用两阶段检验法进行中介效应分析。稳健性检验包括平行趋势检验、安慰剂检验（虚构政策时间与虚构实验组）、替换被解释变量（以全要素生产率TFP替代熵值法得分）、剔除直辖市样本、排除“宽带中国”政策干扰等多项措施。异质性分析从融资约束、科技水平和市场竞争程度三个维度展开。该论文的创新性在于：首次从企业微观视角系统研究公共数据开放对新质生产力的影响，提出了“人才—技术—信息”三维度资源效应框架，丰富了公共数据开放的经济效应研究文献。</w:t>
      </w:r>
    </w:p>
    <w:p>
      <w:pPr>
        <w:spacing w:before="240" w:after="120"/>
      </w:pPr>
      <w:r>
        <w:rPr>
          <w:rFonts w:ascii="黑体" w:hAnsi="黑体" w:eastAsia="黑体"/>
          <w:b/>
          <w:sz w:val="28"/>
        </w:rPr>
        <w:t>1.2  论文8：新质生产力发展水平测度、区域差异及影响因素（郭朝先等）</w:t>
      </w:r>
    </w:p>
    <w:p>
      <w:pPr>
        <w:spacing w:line="360" w:lineRule="auto" w:before="60" w:after="60"/>
        <w:ind w:firstLine="480"/>
        <w:jc w:val="both"/>
      </w:pPr>
      <w:r>
        <w:rPr>
          <w:rFonts w:ascii="宋体" w:hAnsi="宋体" w:eastAsia="宋体"/>
          <w:b w:val="0"/>
          <w:i w:val="0"/>
          <w:sz w:val="24"/>
        </w:rPr>
        <w:t>该论文以286个地级及以上城市为研究对象，时间跨度为2011—2022年，采用熵值法对新质生产力发展水平进行综合测度，构建了包含科技生产力、绿色生产力、数字生产力3个一级指标和8个二级指标的评价体系。在影响因素分析方面，论文采用固定效应模型，核心解释变量包括劳动者素质（以R&amp;D人员数量衡量）、劳动资料技术含量（以科技支出占比衡量）和劳动对象新质化程度（以产业结构升级指数衡量）。</w:t>
      </w:r>
    </w:p>
    <w:p>
      <w:pPr>
        <w:spacing w:line="360" w:lineRule="auto" w:before="60" w:after="60"/>
        <w:ind w:firstLine="480"/>
        <w:jc w:val="both"/>
      </w:pPr>
      <w:r>
        <w:rPr>
          <w:rFonts w:ascii="宋体" w:hAnsi="宋体" w:eastAsia="宋体"/>
          <w:b w:val="0"/>
          <w:i w:val="0"/>
          <w:sz w:val="24"/>
        </w:rPr>
        <w:t>在内生性处理上，论文采用了解释变量滞后一期和系统GMM估计两种策略。异质性分析方面，将全国样本划分为东部、中部、西部、东北四大区域进行分样本回归。该论文的重要创新在于将新质生产力的测度从传统的省域层面拓展至城市层面，实现了研究颗粒度的细化，并采用定性与定量相结合的方法，为后续研究提供了可借鉴的分析框架。</w:t>
      </w:r>
    </w:p>
    <w:p>
      <w:pPr>
        <w:spacing w:before="240" w:after="120"/>
      </w:pPr>
      <w:r>
        <w:rPr>
          <w:rFonts w:ascii="黑体" w:hAnsi="黑体" w:eastAsia="黑体"/>
          <w:b/>
          <w:sz w:val="28"/>
        </w:rPr>
        <w:t>1.3  论文4：中国人工智能产业科技创新水平测度（张晓慧）</w:t>
      </w:r>
    </w:p>
    <w:p>
      <w:pPr>
        <w:spacing w:line="360" w:lineRule="auto" w:before="60" w:after="60"/>
        <w:ind w:firstLine="480"/>
        <w:jc w:val="both"/>
      </w:pPr>
      <w:r>
        <w:rPr>
          <w:rFonts w:ascii="宋体" w:hAnsi="宋体" w:eastAsia="宋体"/>
          <w:b w:val="0"/>
          <w:i w:val="0"/>
          <w:sz w:val="24"/>
        </w:rPr>
        <w:t>该论文以283个地级及以上城市为研究对象，时间跨度为2013—2024年，采用熵值法对人工智能产业科技创新水平进行综合测度。指标体系涵盖创新规模、创新结构、创新成效3个一级指标，下设全社会固定资本投入、高技术从业者数量、人工智能发明专利授权量等20个三级指标。在方法上，论文综合运用马尔科夫链分析动态演化特征、空间相关性分析探讨空间集聚格局，并采用系统GMM方法分析影响因素。</w:t>
      </w:r>
    </w:p>
    <w:p>
      <w:pPr>
        <w:spacing w:line="360" w:lineRule="auto" w:before="60" w:after="60"/>
        <w:ind w:firstLine="480"/>
        <w:jc w:val="both"/>
      </w:pPr>
      <w:r>
        <w:rPr>
          <w:rFonts w:ascii="宋体" w:hAnsi="宋体" w:eastAsia="宋体"/>
          <w:b w:val="0"/>
          <w:i w:val="0"/>
          <w:sz w:val="24"/>
        </w:rPr>
        <w:t>影响因素分析涉及经济发展程度、金融发展程度、市场化程度、政府干预程度和对外开放程度五个维度。论文的创新性体现在：从创新规模、结构、成效三个维度系统构建了人工智能产业科技创新评价体系，并运用马尔科夫链分析了俱乐部趋同现象，为理解中国AI产业科技创新水平的时空演化规律提供了新视角。</w:t>
      </w:r>
    </w:p>
    <w:p>
      <w:pPr>
        <w:spacing w:before="240" w:after="120"/>
      </w:pPr>
      <w:r>
        <w:rPr>
          <w:rFonts w:ascii="黑体" w:hAnsi="黑体" w:eastAsia="黑体"/>
          <w:b/>
          <w:sz w:val="28"/>
        </w:rPr>
        <w:t>1.4  论文12：人工智能与制造业产业链融合水平测度（王雪璐）</w:t>
      </w:r>
    </w:p>
    <w:p>
      <w:pPr>
        <w:spacing w:line="360" w:lineRule="auto" w:before="60" w:after="60"/>
        <w:ind w:firstLine="480"/>
        <w:jc w:val="both"/>
      </w:pPr>
      <w:r>
        <w:rPr>
          <w:rFonts w:ascii="宋体" w:hAnsi="宋体" w:eastAsia="宋体"/>
          <w:b w:val="0"/>
          <w:i w:val="0"/>
          <w:sz w:val="24"/>
        </w:rPr>
        <w:t>该论文以30个省份为研究对象，时间跨度为2014—2023年，采用逐层纵横拉开档次法进行指标权重确定，并运用耦合协调模型测算人工智能与制造业产业链的融合水平。指标体系分为两个子系统：人工智能子系统涵盖发展基础、技术创新和实际应用三个层面，制造业产业链子系统涵盖效益水平、结构优化、韧性能力和集约程度四个层面，共计24个三级指标。</w:t>
      </w:r>
    </w:p>
    <w:p>
      <w:pPr>
        <w:spacing w:line="360" w:lineRule="auto" w:before="60" w:after="60"/>
        <w:ind w:firstLine="480"/>
        <w:jc w:val="both"/>
      </w:pPr>
      <w:r>
        <w:rPr>
          <w:rFonts w:ascii="宋体" w:hAnsi="宋体" w:eastAsia="宋体"/>
          <w:b w:val="0"/>
          <w:i w:val="0"/>
          <w:sz w:val="24"/>
        </w:rPr>
        <w:t>在方法体系上，论文还综合运用了核密度函数分析融合水平的分布动态演化特征，以及空间杜宾模型（SDM）探讨影响因素的空间溢出效应。影响因素涵盖经济发展水平、城镇化规模、技术创新、教育发展、产业结构和金融发展水平六个维度。该论文的创新性在于从产业链视角测度AI融合水平，使用逐层纵横拉开档次法这一较新的综合评价方法，丰富了人工智能与实体经济融合的研究视角。</w:t>
      </w:r>
    </w:p>
    <w:p>
      <w:pPr>
        <w:spacing w:before="240" w:after="120"/>
      </w:pPr>
      <w:r>
        <w:rPr>
          <w:rFonts w:ascii="黑体" w:hAnsi="黑体" w:eastAsia="黑体"/>
          <w:b/>
          <w:sz w:val="28"/>
        </w:rPr>
        <w:t>1.5  论文6：中国高技术产业链韧性测度（张旻）</w:t>
      </w:r>
    </w:p>
    <w:p>
      <w:pPr>
        <w:spacing w:line="360" w:lineRule="auto" w:before="60" w:after="60"/>
        <w:ind w:firstLine="480"/>
        <w:jc w:val="both"/>
      </w:pPr>
      <w:r>
        <w:rPr>
          <w:rFonts w:ascii="宋体" w:hAnsi="宋体" w:eastAsia="宋体"/>
          <w:b w:val="0"/>
          <w:i w:val="0"/>
          <w:sz w:val="24"/>
        </w:rPr>
        <w:t>该论文以30个省份为研究对象，时间跨度为2012—2022年，采用熵权TOPSIS法对高技术产业链韧性进行综合测度。指标体系从抵御力、恢复力、更新力和进化力四个一级指标维度构建，全面刻画产业链面对外部冲击时的全周期韧性表现。在区域差异分析方面，论文采用Dagum基尼系数分解方法，将总体差异分解为区域内差异、区域间差异和超变密度三个部分。</w:t>
      </w:r>
    </w:p>
    <w:p>
      <w:pPr>
        <w:spacing w:line="360" w:lineRule="auto" w:before="60" w:after="60"/>
        <w:ind w:firstLine="480"/>
        <w:jc w:val="both"/>
      </w:pPr>
      <w:r>
        <w:rPr>
          <w:rFonts w:ascii="宋体" w:hAnsi="宋体" w:eastAsia="宋体"/>
          <w:b w:val="0"/>
          <w:i w:val="0"/>
          <w:sz w:val="24"/>
        </w:rPr>
        <w:t>影响因素分析采用空间计量模型（SDM），探讨人力资本、数字基础设施、知识产权保护、产业结构升级和科技金融投入等因素对产业链韧性的影响及其空间溢出效应。该论文的创新性在于从“抵御—恢复—更新—进化”四维度系统构建了产业链韧性评价体系，突破了以往仅关注单一维度韧性的局限，为理解高技术产业链的安全与韧性提供了更为全面的分析框架。</w:t>
      </w:r>
    </w:p>
    <w:p>
      <w:pPr>
        <w:spacing w:before="240" w:after="120"/>
      </w:pPr>
      <w:r>
        <w:rPr>
          <w:rFonts w:ascii="黑体" w:hAnsi="黑体" w:eastAsia="黑体"/>
          <w:b/>
          <w:sz w:val="28"/>
        </w:rPr>
        <w:t>1.6  论文7：中国地区四链融合水平测度（李沫阳等）</w:t>
      </w:r>
    </w:p>
    <w:p>
      <w:pPr>
        <w:spacing w:line="360" w:lineRule="auto" w:before="60" w:after="60"/>
        <w:ind w:firstLine="480"/>
        <w:jc w:val="both"/>
      </w:pPr>
      <w:r>
        <w:rPr>
          <w:rFonts w:ascii="宋体" w:hAnsi="宋体" w:eastAsia="宋体"/>
          <w:b w:val="0"/>
          <w:i w:val="0"/>
          <w:sz w:val="24"/>
        </w:rPr>
        <w:t>该论文以各省份为研究对象，时间跨度为2014—2021年，采用三阶段超效率EBM模型进行效率测度。论文将四链（创新链、产业链、资金链、人才链）融合过程拆解为四个环节：科学创新环节→技术创新环节→技术转移与科技创业环节→融合促进经济社会发展环节，每个环节分别构建投入产出指标体系。在效率测度方法上，采用全局参比EBM指数以增强跨期可比性。</w:t>
      </w:r>
    </w:p>
    <w:p>
      <w:pPr>
        <w:spacing w:line="360" w:lineRule="auto" w:before="60" w:after="60"/>
        <w:ind w:firstLine="480"/>
        <w:jc w:val="both"/>
      </w:pPr>
      <w:r>
        <w:rPr>
          <w:rFonts w:ascii="宋体" w:hAnsi="宋体" w:eastAsia="宋体"/>
          <w:b w:val="0"/>
          <w:i w:val="0"/>
          <w:sz w:val="24"/>
        </w:rPr>
        <w:t>影响因素分析采用贝叶斯模型平均（BMA）方法，从创新环境、四链结构组成、创新生态和产业发展水平四个维度筛选关键影响因素。论文的创新性在于将四链融合过程拆解为多环节进行精细化测度，使用三阶段超效率EBM模型这一较为前沿的效率评价方法，为理解创新驱动发展提供了新的分析视角。</w:t>
      </w:r>
    </w:p>
    <w:p>
      <w:r>
        <w:br w:type="page"/>
      </w:r>
    </w:p>
    <w:p>
      <w:pPr>
        <w:spacing w:before="360" w:after="240"/>
      </w:pPr>
      <w:r>
        <w:rPr>
          <w:rFonts w:ascii="黑体" w:hAnsi="黑体" w:eastAsia="黑体"/>
          <w:b/>
          <w:sz w:val="32"/>
        </w:rPr>
        <w:t>第二章  三个开题报告题目综合分析</w:t>
      </w:r>
    </w:p>
    <w:p>
      <w:pPr>
        <w:spacing w:before="240" w:after="120"/>
      </w:pPr>
      <w:r>
        <w:rPr>
          <w:rFonts w:ascii="黑体" w:hAnsi="黑体" w:eastAsia="黑体"/>
          <w:b/>
          <w:sz w:val="28"/>
        </w:rPr>
        <w:t>2.1  题目一：新质生产力发展水平测度、区域差异及影响因素</w:t>
      </w:r>
    </w:p>
    <w:p>
      <w:pPr>
        <w:spacing w:line="360" w:lineRule="auto" w:before="60" w:after="60"/>
        <w:ind w:firstLine="480"/>
        <w:jc w:val="both"/>
      </w:pPr>
      <w:r>
        <w:rPr>
          <w:rFonts w:ascii="宋体" w:hAnsi="宋体" w:eastAsia="宋体"/>
          <w:b w:val="0"/>
          <w:i w:val="0"/>
          <w:sz w:val="24"/>
        </w:rPr>
        <w:t>本题目以“新质生产力”为核心概念，旨在从宏观层面构建新质生产力发展水平的综合评价指标体系，并分析其区域差异特征及关键影响因素。参考论文组合为论文3（微观企业层面DID分析）与论文8（宏观城市层面测度），两者形成了从微观到宏观的互补性分析框架。</w:t>
      </w:r>
    </w:p>
    <w:p>
      <w:pPr>
        <w:spacing w:line="360" w:lineRule="auto" w:before="60" w:after="60"/>
        <w:ind w:firstLine="480"/>
        <w:jc w:val="both"/>
      </w:pPr>
      <w:r>
        <w:rPr>
          <w:rFonts w:ascii="宋体" w:hAnsi="宋体" w:eastAsia="宋体"/>
          <w:b/>
          <w:i w:val="0"/>
          <w:sz w:val="24"/>
        </w:rPr>
        <w:t>建议研究对象：地级市层面（286个及以上城市）。</w:t>
      </w:r>
    </w:p>
    <w:p>
      <w:pPr>
        <w:spacing w:line="360" w:lineRule="auto" w:before="60" w:after="60"/>
        <w:ind w:firstLine="480"/>
        <w:jc w:val="both"/>
      </w:pPr>
      <w:r>
        <w:rPr>
          <w:rFonts w:ascii="宋体" w:hAnsi="宋体" w:eastAsia="宋体"/>
          <w:b w:val="0"/>
          <w:i w:val="0"/>
          <w:sz w:val="24"/>
        </w:rPr>
        <w:t>可借鉴的方法体系包括：第一，采用熵值法构建科技生产力、绿色生产力、数字生产力三维度指标体系，每个维度下设2—3个二级指标和若干三级指标；第二，采用固定效应模型或系统GMM方法进行影响因素分析；第三，运用Dagum基尼系数分解方法分析新质生产力发展的区域差异及其来源；第四，采用空间计量模型（如空间杜宾模型SDM）探讨影响因素的直接效应和空间溢出效应。</w:t>
      </w:r>
    </w:p>
    <w:p>
      <w:pPr>
        <w:spacing w:line="360" w:lineRule="auto" w:before="60" w:after="60"/>
        <w:ind w:firstLine="480"/>
        <w:jc w:val="both"/>
      </w:pPr>
      <w:r>
        <w:rPr>
          <w:rFonts w:ascii="宋体" w:hAnsi="宋体" w:eastAsia="宋体"/>
          <w:b w:val="0"/>
          <w:i w:val="0"/>
          <w:sz w:val="24"/>
        </w:rPr>
        <w:t>建议选择地级市层面的理由如下：论文8已经完成了从省域层面到城市层面的边际贡献拓展，地级市数据颗粒度更细（286个城市相比31个省份，样本量增加约9倍），能够在区域差异分析中提供更丰富的信息。同时，地级市层面的空间计量分析可以更精细地刻画空间集聚与溢出效应，研究结论的政策含义更加具体和有针对性。与导师沟通时，应重点强调：地级市层面的研究不仅数据量充足，而且在空间异质性分析和政策精准施策方面具有明显优势。</w:t>
      </w:r>
    </w:p>
    <w:p>
      <w:pPr>
        <w:spacing w:before="240" w:after="120"/>
      </w:pPr>
      <w:r>
        <w:rPr>
          <w:rFonts w:ascii="黑体" w:hAnsi="黑体" w:eastAsia="黑体"/>
          <w:b/>
          <w:sz w:val="28"/>
        </w:rPr>
        <w:t>2.2  题目二：人工智能发展水平测度与时空演变特征</w:t>
      </w:r>
    </w:p>
    <w:p>
      <w:pPr>
        <w:spacing w:line="360" w:lineRule="auto" w:before="60" w:after="60"/>
        <w:ind w:firstLine="480"/>
        <w:jc w:val="both"/>
      </w:pPr>
      <w:r>
        <w:rPr>
          <w:rFonts w:ascii="宋体" w:hAnsi="宋体" w:eastAsia="宋体"/>
          <w:b w:val="0"/>
          <w:i w:val="0"/>
          <w:sz w:val="24"/>
        </w:rPr>
        <w:t>本题目聚焦人工智能（AI）发展水平的多维度综合评价，探讨其时空演化规律及空间分布特征。参考论文组合为论文4（地级市科技创新水平测度）与论文12（省级AI与制造业融合水平测度），两者分别在创新测度和融合测度方面提供了方法论参考。</w:t>
      </w:r>
    </w:p>
    <w:p>
      <w:pPr>
        <w:spacing w:line="360" w:lineRule="auto" w:before="60" w:after="60"/>
        <w:ind w:firstLine="480"/>
        <w:jc w:val="both"/>
      </w:pPr>
      <w:r>
        <w:rPr>
          <w:rFonts w:ascii="宋体" w:hAnsi="宋体" w:eastAsia="宋体"/>
          <w:b/>
          <w:i w:val="0"/>
          <w:sz w:val="24"/>
        </w:rPr>
        <w:t>建议研究对象：地级市层面（283个城市）或省级层面（30个省份）均可，视数据可及性而定。</w:t>
      </w:r>
    </w:p>
    <w:p>
      <w:pPr>
        <w:spacing w:line="360" w:lineRule="auto" w:before="60" w:after="60"/>
        <w:ind w:firstLine="480"/>
        <w:jc w:val="both"/>
      </w:pPr>
      <w:r>
        <w:rPr>
          <w:rFonts w:ascii="宋体" w:hAnsi="宋体" w:eastAsia="宋体"/>
          <w:b w:val="0"/>
          <w:i w:val="0"/>
          <w:sz w:val="24"/>
        </w:rPr>
        <w:t>可借鉴的方法体系包括：第一，采用熵值法或逐层纵横拉开档次法进行指标赋权，构建涵盖创新规模、创新结构、创新成效（或发展基础、技术创新、实际应用）的多维度指标体系；第二，采用马尔科夫链方法分析AI发展水平的动态演化特征和俱乐部趋同现象；第三，运用核密度函数刻画AI发展水平分布的动态演进；第四，采用空间杜宾模型分析影响因素及其空间溢出效应。</w:t>
      </w:r>
    </w:p>
    <w:p>
      <w:pPr>
        <w:spacing w:line="360" w:lineRule="auto" w:before="60" w:after="60"/>
        <w:ind w:firstLine="480"/>
        <w:jc w:val="both"/>
      </w:pPr>
      <w:r>
        <w:rPr>
          <w:rFonts w:ascii="宋体" w:hAnsi="宋体" w:eastAsia="宋体"/>
          <w:b w:val="0"/>
          <w:i w:val="0"/>
          <w:sz w:val="24"/>
        </w:rPr>
        <w:t>本题目可能的创新切入点有两个方向：一是将“原始创新策源能力”纳入测度维度（论文4的题目中提及该概念但未在现有分析中充分展开），构建包含基础研究能力、原创技术产出等指标的扩展评价体系；二是聚焦特定区域进行深度案例研究，例如聚焦山东省，结合山东省在人工智能与实体经济融合方面的特色场景，进行深入的区域研究。</w:t>
      </w:r>
    </w:p>
    <w:p>
      <w:pPr>
        <w:spacing w:before="240" w:after="120"/>
      </w:pPr>
      <w:r>
        <w:rPr>
          <w:rFonts w:ascii="黑体" w:hAnsi="黑体" w:eastAsia="黑体"/>
          <w:b/>
          <w:sz w:val="28"/>
        </w:rPr>
        <w:t>2.3  题目三：四链融合水平测度、时空演变和影响因素研究</w:t>
      </w:r>
    </w:p>
    <w:p>
      <w:pPr>
        <w:spacing w:line="360" w:lineRule="auto" w:before="60" w:after="60"/>
        <w:ind w:firstLine="480"/>
        <w:jc w:val="both"/>
      </w:pPr>
      <w:r>
        <w:rPr>
          <w:rFonts w:ascii="宋体" w:hAnsi="宋体" w:eastAsia="宋体"/>
          <w:b w:val="0"/>
          <w:i w:val="0"/>
          <w:sz w:val="24"/>
        </w:rPr>
        <w:t>本题目以创新链、产业链、资金链、人才链“四链融合”为研究对象，旨在系统测度四链融合效率水平，分析其时空演变特征及关键影响因素。参考论文组合为论文6（产业链韧性测度）与论文7（四链融合测度），前者在指标体系构建和空间计量方法上提供参考，后者在四链拆解和效率测度方法上提供直接借鉴。</w:t>
      </w:r>
    </w:p>
    <w:p>
      <w:pPr>
        <w:spacing w:line="360" w:lineRule="auto" w:before="60" w:after="60"/>
        <w:ind w:firstLine="480"/>
        <w:jc w:val="both"/>
      </w:pPr>
      <w:r>
        <w:rPr>
          <w:rFonts w:ascii="宋体" w:hAnsi="宋体" w:eastAsia="宋体"/>
          <w:b/>
          <w:i w:val="0"/>
          <w:sz w:val="24"/>
        </w:rPr>
        <w:t>建议研究对象：省级层面（30个省份）。</w:t>
      </w:r>
    </w:p>
    <w:p>
      <w:pPr>
        <w:spacing w:line="360" w:lineRule="auto" w:before="60" w:after="60"/>
        <w:ind w:firstLine="480"/>
        <w:jc w:val="both"/>
      </w:pPr>
      <w:r>
        <w:rPr>
          <w:rFonts w:ascii="宋体" w:hAnsi="宋体" w:eastAsia="宋体"/>
          <w:b w:val="0"/>
          <w:i w:val="0"/>
          <w:sz w:val="24"/>
        </w:rPr>
        <w:t>可借鉴的方法体系包括：第一，采用三阶段超效率EBM模型（或熵权TOPSIS法作为替代方案）进行四链融合效率的综合测度，将四链融合过程拆解为科学创新、技术创新、技术转移与科技创业、融合促进经济社会发展四个环节；第二，采用Dagum基尼系数分解分析区域差异；第三，采用空间计量模型或BMA方法分析影响因素。</w:t>
      </w:r>
    </w:p>
    <w:p>
      <w:pPr>
        <w:spacing w:line="360" w:lineRule="auto" w:before="60" w:after="60"/>
        <w:ind w:firstLine="480"/>
        <w:jc w:val="both"/>
      </w:pPr>
      <w:r>
        <w:rPr>
          <w:rFonts w:ascii="宋体" w:hAnsi="宋体" w:eastAsia="宋体"/>
          <w:b w:val="0"/>
          <w:i w:val="0"/>
          <w:sz w:val="24"/>
        </w:rPr>
        <w:t>本题目可能的创新切入点在于将“数据安全合规”要素纳入四链融合评价体系，这与用户的数据安全合规审计师专业背景高度契合。具体而言，可以考虑在资金链或产业链维度中引入数据安全合规投入、合规风险事件等指标，探讨数据安全治理对四链融合效率的影响。另一个方向是聚焦特定行业（如金融、电力、钢铁等关键基础设施行业），做行业层面的深度分析。</w:t>
      </w:r>
    </w:p>
    <w:p>
      <w:r>
        <w:br w:type="page"/>
      </w:r>
    </w:p>
    <w:p>
      <w:pPr>
        <w:spacing w:before="360" w:after="240"/>
      </w:pPr>
      <w:r>
        <w:rPr>
          <w:rFonts w:ascii="黑体" w:hAnsi="黑体" w:eastAsia="黑体"/>
          <w:b/>
          <w:sz w:val="32"/>
        </w:rPr>
        <w:t>第三章  创新性对比分析</w:t>
      </w:r>
    </w:p>
    <w:p>
      <w:pPr>
        <w:spacing w:line="360" w:lineRule="auto" w:before="60" w:after="60"/>
        <w:ind w:firstLine="480"/>
        <w:jc w:val="both"/>
      </w:pPr>
      <w:r>
        <w:rPr>
          <w:rFonts w:ascii="宋体" w:hAnsi="宋体" w:eastAsia="宋体"/>
          <w:b w:val="0"/>
          <w:i w:val="0"/>
          <w:sz w:val="24"/>
        </w:rPr>
        <w:t>本章从数据可及性、方法创新性、与专业背景的契合度和研究可行性四个维度，对三个备选题目进行系统对比分析，以确定最易于体现学术创新且最具研究可行性的题目。</w:t>
      </w:r>
    </w:p>
    <w:p>
      <w:pPr>
        <w:spacing w:before="240" w:after="120"/>
      </w:pPr>
      <w:r>
        <w:rPr>
          <w:rFonts w:ascii="黑体" w:hAnsi="黑体" w:eastAsia="黑体"/>
          <w:b/>
          <w:sz w:val="28"/>
        </w:rPr>
        <w:t>3.1  题目一的创新空间</w:t>
      </w:r>
    </w:p>
    <w:p>
      <w:pPr>
        <w:spacing w:line="360" w:lineRule="auto" w:before="60" w:after="60"/>
        <w:ind w:firstLine="480"/>
        <w:jc w:val="both"/>
      </w:pPr>
      <w:r>
        <w:rPr>
          <w:rFonts w:ascii="宋体" w:hAnsi="宋体" w:eastAsia="宋体"/>
          <w:b w:val="0"/>
          <w:i w:val="0"/>
          <w:sz w:val="24"/>
        </w:rPr>
        <w:t>数据层面：可结合公共数据开放政策作为外生冲击事件，构建双重差分模型（DID），将宏观政策与微观企业行为或中观城市表现相结合。现有统计年鉴数据（如《中国城市统计年鉴》《中国科技统计年鉴》）可支撑城市层面新质生产力指标体系的构建，数据获取渠道成熟且规范。</w:t>
      </w:r>
    </w:p>
    <w:p>
      <w:pPr>
        <w:spacing w:line="360" w:lineRule="auto" w:before="60" w:after="60"/>
        <w:ind w:firstLine="480"/>
        <w:jc w:val="both"/>
      </w:pPr>
      <w:r>
        <w:rPr>
          <w:rFonts w:ascii="宋体" w:hAnsi="宋体" w:eastAsia="宋体"/>
          <w:b w:val="0"/>
          <w:i w:val="0"/>
          <w:sz w:val="24"/>
        </w:rPr>
        <w:t>研究对象：可聚焦山东省17个地级市，在286个城市的全国样本基础上进行深入的区域案例研究，发挥“全国分析+区域聚焦”的双层研究优势。山东省作为经济大省和工业强省，其新质生产力发展具有典型性和代表性。</w:t>
      </w:r>
    </w:p>
    <w:p>
      <w:pPr>
        <w:spacing w:line="360" w:lineRule="auto" w:before="60" w:after="60"/>
        <w:ind w:firstLine="480"/>
        <w:jc w:val="both"/>
      </w:pPr>
      <w:r>
        <w:rPr>
          <w:rFonts w:ascii="宋体" w:hAnsi="宋体" w:eastAsia="宋体"/>
          <w:b w:val="0"/>
          <w:i w:val="0"/>
          <w:sz w:val="24"/>
        </w:rPr>
        <w:t>方法创新：在熵值法测度的基础上，可引入机器学习方法（如随机森林或XGBoost）进行指标重要性排序和特征筛选，增强指标体系的科学性和稳健性。同时，可结合Dagum基尼系数和空间杜宾模型，全面刻画新质生产力发展的区域差异格局和空间效应。</w:t>
      </w:r>
    </w:p>
    <w:p>
      <w:pPr>
        <w:spacing w:line="360" w:lineRule="auto" w:before="60" w:after="60"/>
        <w:ind w:firstLine="480"/>
        <w:jc w:val="both"/>
      </w:pPr>
      <w:r>
        <w:rPr>
          <w:rFonts w:ascii="宋体" w:hAnsi="宋体" w:eastAsia="宋体"/>
          <w:b w:val="0"/>
          <w:i w:val="0"/>
          <w:sz w:val="24"/>
        </w:rPr>
        <w:t>创新性评分：★★★★☆（四颗星）。主要优势在于数据可及性高、方法体系成熟且可拓展空间大、与用户统计监测方法研究的学术方向高度契合。</w:t>
      </w:r>
    </w:p>
    <w:p>
      <w:pPr>
        <w:spacing w:before="240" w:after="120"/>
      </w:pPr>
      <w:r>
        <w:rPr>
          <w:rFonts w:ascii="黑体" w:hAnsi="黑体" w:eastAsia="黑体"/>
          <w:b/>
          <w:sz w:val="28"/>
        </w:rPr>
        <w:t>3.2  题目二的创新空间</w:t>
      </w:r>
    </w:p>
    <w:p>
      <w:pPr>
        <w:spacing w:line="360" w:lineRule="auto" w:before="60" w:after="60"/>
        <w:ind w:firstLine="480"/>
        <w:jc w:val="both"/>
      </w:pPr>
      <w:r>
        <w:rPr>
          <w:rFonts w:ascii="宋体" w:hAnsi="宋体" w:eastAsia="宋体"/>
          <w:b w:val="0"/>
          <w:i w:val="0"/>
          <w:sz w:val="24"/>
        </w:rPr>
        <w:t>数据层面：人工智能相关专利数据（可通过国家知识产权局专利数据库或incoPat等商业数据库获取）较为丰富，AI企业数据可通过企查查、天眼查等渠道获取。CSMAR和Wind数据库也提供相关上市公司AI专利和创新数据。数据可获取性整体较好。</w:t>
      </w:r>
    </w:p>
    <w:p>
      <w:pPr>
        <w:spacing w:line="360" w:lineRule="auto" w:before="60" w:after="60"/>
        <w:ind w:firstLine="480"/>
        <w:jc w:val="both"/>
      </w:pPr>
      <w:r>
        <w:rPr>
          <w:rFonts w:ascii="宋体" w:hAnsi="宋体" w:eastAsia="宋体"/>
          <w:b w:val="0"/>
          <w:i w:val="0"/>
          <w:sz w:val="24"/>
        </w:rPr>
        <w:t>研究对象：山东省AI产业发展具有特色场景（如青岛的智能家电、济南的AI+制造、烟台的智慧海洋等），聚焦山东进行区域深度研究具有现实意义。</w:t>
      </w:r>
    </w:p>
    <w:p>
      <w:pPr>
        <w:spacing w:line="360" w:lineRule="auto" w:before="60" w:after="60"/>
        <w:ind w:firstLine="480"/>
        <w:jc w:val="both"/>
      </w:pPr>
      <w:r>
        <w:rPr>
          <w:rFonts w:ascii="宋体" w:hAnsi="宋体" w:eastAsia="宋体"/>
          <w:b w:val="0"/>
          <w:i w:val="0"/>
          <w:sz w:val="24"/>
        </w:rPr>
        <w:t>方法创新：在传统熵值法或拉开档次法的基础上，可引入机器学习方法（如神经网络或XGBoost）改进指标权重确定方式，或采用随机森林进行影响因素的重要性排序，提升方法的技术含量和创新性。</w:t>
      </w:r>
    </w:p>
    <w:p>
      <w:pPr>
        <w:spacing w:line="360" w:lineRule="auto" w:before="60" w:after="60"/>
        <w:ind w:firstLine="480"/>
        <w:jc w:val="both"/>
      </w:pPr>
      <w:r>
        <w:rPr>
          <w:rFonts w:ascii="宋体" w:hAnsi="宋体" w:eastAsia="宋体"/>
          <w:b w:val="0"/>
          <w:i w:val="0"/>
          <w:sz w:val="24"/>
        </w:rPr>
        <w:t>创新性评分：★★★★☆（四颗星）。主要优势在于AI领域是当前学术热点，选题时效性强，但需注意区分于已有研究的增量贡献空间。</w:t>
      </w:r>
    </w:p>
    <w:p>
      <w:pPr>
        <w:spacing w:before="240" w:after="120"/>
      </w:pPr>
      <w:r>
        <w:rPr>
          <w:rFonts w:ascii="黑体" w:hAnsi="黑体" w:eastAsia="黑体"/>
          <w:b/>
          <w:sz w:val="28"/>
        </w:rPr>
        <w:t>3.3  题目三的创新空间</w:t>
      </w:r>
    </w:p>
    <w:p>
      <w:pPr>
        <w:spacing w:line="360" w:lineRule="auto" w:before="60" w:after="60"/>
        <w:ind w:firstLine="480"/>
        <w:jc w:val="both"/>
      </w:pPr>
      <w:r>
        <w:rPr>
          <w:rFonts w:ascii="宋体" w:hAnsi="宋体" w:eastAsia="宋体"/>
          <w:b w:val="0"/>
          <w:i w:val="0"/>
          <w:sz w:val="24"/>
        </w:rPr>
        <w:t>数据层面：四链融合所需的分环节数据（特别是资金链的分环节资金流量数据和人才链的分环节人力资本数据）获取难度较大。省级层面的科技经费支出、R&amp;D人员等总量数据可得，但分解到科学创新、技术创新、技术转移等具体环节的数据需要大量手动整理或依赖微观调查数据。</w:t>
      </w:r>
    </w:p>
    <w:p>
      <w:pPr>
        <w:spacing w:line="360" w:lineRule="auto" w:before="60" w:after="60"/>
        <w:ind w:firstLine="480"/>
        <w:jc w:val="both"/>
      </w:pPr>
      <w:r>
        <w:rPr>
          <w:rFonts w:ascii="宋体" w:hAnsi="宋体" w:eastAsia="宋体"/>
          <w:b w:val="0"/>
          <w:i w:val="0"/>
          <w:sz w:val="24"/>
        </w:rPr>
        <w:t>研究对象：可与用户工作背景深度结合，将关键基础设施行业（金融、电力、钢铁制造）的数据安全合规要素纳入四链融合评价体系，形成“学术研究+行业实践”的独特视角。</w:t>
      </w:r>
    </w:p>
    <w:p>
      <w:pPr>
        <w:spacing w:line="360" w:lineRule="auto" w:before="60" w:after="60"/>
        <w:ind w:firstLine="480"/>
        <w:jc w:val="both"/>
      </w:pPr>
      <w:r>
        <w:rPr>
          <w:rFonts w:ascii="宋体" w:hAnsi="宋体" w:eastAsia="宋体"/>
          <w:b w:val="0"/>
          <w:i w:val="0"/>
          <w:sz w:val="24"/>
        </w:rPr>
        <w:t>方法创新：三阶段超效率EBM模型是效率测度领域较为前沿的方法，技术含量高。但需注意，该方法的实施需要较强的数学规划基础，且对数据质量要求较高。</w:t>
      </w:r>
    </w:p>
    <w:p>
      <w:pPr>
        <w:spacing w:line="360" w:lineRule="auto" w:before="60" w:after="60"/>
        <w:ind w:firstLine="480"/>
        <w:jc w:val="both"/>
      </w:pPr>
      <w:r>
        <w:rPr>
          <w:rFonts w:ascii="宋体" w:hAnsi="宋体" w:eastAsia="宋体"/>
          <w:b w:val="0"/>
          <w:i w:val="0"/>
          <w:sz w:val="24"/>
        </w:rPr>
        <w:t>创新性评分：★★★☆☆（三颗星）。虽然与用户专业背景的契合度最高，但数据获取难度大是主要制约因素，可能影响研究的推进进度和结论的稳健性。</w:t>
      </w:r>
    </w:p>
    <w:p>
      <w:pPr>
        <w:spacing w:before="240" w:after="120"/>
      </w:pPr>
      <w:r>
        <w:rPr>
          <w:rFonts w:ascii="黑体" w:hAnsi="黑体" w:eastAsia="黑体"/>
          <w:b/>
          <w:sz w:val="28"/>
        </w:rPr>
        <w:t>3.4  综合推荐</w:t>
      </w:r>
    </w:p>
    <w:p>
      <w:pPr>
        <w:spacing w:line="360" w:lineRule="auto" w:before="60" w:after="60"/>
        <w:ind w:firstLine="480"/>
        <w:jc w:val="both"/>
      </w:pPr>
      <w:r>
        <w:rPr>
          <w:rFonts w:ascii="宋体" w:hAnsi="宋体" w:eastAsia="宋体"/>
          <w:b w:val="0"/>
          <w:i w:val="0"/>
          <w:sz w:val="24"/>
        </w:rPr>
        <w:t>综合上述分析，三个题目的推荐顺序为：题目一（新质生产力发展水平测度）&gt; 题目二（人工智能发展水平测度）&gt; 题目三（四链融合水平测度）。</w:t>
      </w:r>
    </w:p>
    <w:p>
      <w:pPr>
        <w:spacing w:line="360" w:lineRule="auto" w:before="60" w:after="60"/>
        <w:ind w:firstLine="480"/>
        <w:jc w:val="both"/>
      </w:pPr>
      <w:r>
        <w:rPr>
          <w:rFonts w:ascii="宋体" w:hAnsi="宋体" w:eastAsia="宋体"/>
          <w:b w:val="0"/>
          <w:i w:val="0"/>
          <w:sz w:val="24"/>
        </w:rPr>
        <w:t>推荐题目一的核心理由如下：第一，数据可及性最优——城市层面的统计年鉴数据获取渠道成熟，无需依赖特殊的微观调查数据或商业数据库；第二，方法创新空间大——可在传统熵值法+Dagum基尼系数+空间计量的成熟框架基础上，引入机器学习方法进行方法创新；第三，与用户专业背景的关联性强——新质生产力涉及的科技、绿色、数字三个维度，与数据安全合规治理密切相关，可以在指标体系中融入数据安全治理的相关元素；第四，研究可行性高——286个城市的样本量足以支撑稳健的计量分析，时间跨度（2011—2022年）覆盖了关键政策窗口期。</w:t>
      </w:r>
    </w:p>
    <w:p>
      <w:r>
        <w:br w:type="page"/>
      </w:r>
    </w:p>
    <w:p>
      <w:pPr>
        <w:spacing w:before="360" w:after="240"/>
      </w:pPr>
      <w:r>
        <w:rPr>
          <w:rFonts w:ascii="黑体" w:hAnsi="黑体" w:eastAsia="黑体"/>
          <w:b/>
          <w:sz w:val="32"/>
        </w:rPr>
        <w:t>第四章  横向数据对比分析</w:t>
      </w:r>
    </w:p>
    <w:p>
      <w:pPr>
        <w:spacing w:line="360" w:lineRule="auto" w:before="60" w:after="60"/>
        <w:ind w:firstLine="480"/>
        <w:jc w:val="both"/>
      </w:pPr>
      <w:r>
        <w:rPr>
          <w:rFonts w:ascii="宋体" w:hAnsi="宋体" w:eastAsia="宋体"/>
          <w:b w:val="0"/>
          <w:i w:val="0"/>
          <w:sz w:val="24"/>
        </w:rPr>
        <w:t>本章从数据层级、数据来源、数据可及性、指标颗粒度、样本量、空间分析可行性和结论有效性等七个维度，对省级、地级市和行业三个数据层级进行系统对比，为选题的数据基础提供参考依据。</w:t>
      </w:r>
    </w:p>
    <w:p>
      <w:pPr>
        <w:spacing w:before="200" w:after="120"/>
      </w:pPr>
      <w:r>
        <w:rPr>
          <w:rFonts w:ascii="黑体" w:hAnsi="黑体" w:eastAsia="黑体"/>
          <w:b/>
          <w:sz w:val="26"/>
        </w:rPr>
        <w:t>表4-1  数据层级横向对比分析</w:t>
      </w:r>
    </w:p>
    <w:tbl>
      <w:tblPr>
        <w:tblStyle w:val="TableGrid"/>
        <w:tblW w:type="auto" w:w="0"/>
        <w:jc w:val="center"/>
        <w:tblLayout w:type="autofit"/>
        <w:tblLook w:firstColumn="1" w:firstRow="1" w:lastColumn="0" w:lastRow="0" w:noHBand="0" w:noVBand="1" w:val="04A0"/>
      </w:tblPr>
      <w:tblGrid>
        <w:gridCol w:w="2078"/>
        <w:gridCol w:w="2078"/>
        <w:gridCol w:w="2078"/>
        <w:gridCol w:w="2078"/>
      </w:tblGrid>
      <w:tr>
        <w:tc>
          <w:tcPr>
            <w:tcW w:type="dxa" w:w="2078"/>
            <w:shd w:fill="2F5496"/>
          </w:tcPr>
          <w:p>
            <w:pPr>
              <w:spacing w:before="40" w:after="40"/>
              <w:jc w:val="center"/>
            </w:pPr>
            <w:r>
              <w:rPr>
                <w:rFonts w:ascii="微软雅黑" w:hAnsi="微软雅黑" w:eastAsia="微软雅黑"/>
                <w:b/>
                <w:color w:val="FFFFFF"/>
                <w:sz w:val="20"/>
              </w:rPr>
              <w:t>对比维度</w:t>
            </w:r>
          </w:p>
        </w:tc>
        <w:tc>
          <w:tcPr>
            <w:tcW w:type="dxa" w:w="2078"/>
            <w:shd w:fill="2F5496"/>
          </w:tcPr>
          <w:p>
            <w:pPr>
              <w:spacing w:before="40" w:after="40"/>
              <w:jc w:val="center"/>
            </w:pPr>
            <w:r>
              <w:rPr>
                <w:rFonts w:ascii="微软雅黑" w:hAnsi="微软雅黑" w:eastAsia="微软雅黑"/>
                <w:b/>
                <w:color w:val="FFFFFF"/>
                <w:sz w:val="20"/>
              </w:rPr>
              <w:t>省级层面（30省）</w:t>
            </w:r>
          </w:p>
        </w:tc>
        <w:tc>
          <w:tcPr>
            <w:tcW w:type="dxa" w:w="2078"/>
            <w:shd w:fill="2F5496"/>
          </w:tcPr>
          <w:p>
            <w:pPr>
              <w:spacing w:before="40" w:after="40"/>
              <w:jc w:val="center"/>
            </w:pPr>
            <w:r>
              <w:rPr>
                <w:rFonts w:ascii="微软雅黑" w:hAnsi="微软雅黑" w:eastAsia="微软雅黑"/>
                <w:b/>
                <w:color w:val="FFFFFF"/>
                <w:sz w:val="20"/>
              </w:rPr>
              <w:t>地级市层面（286+城）</w:t>
            </w:r>
          </w:p>
        </w:tc>
        <w:tc>
          <w:tcPr>
            <w:tcW w:type="dxa" w:w="2078"/>
            <w:shd w:fill="2F5496"/>
          </w:tcPr>
          <w:p>
            <w:pPr>
              <w:spacing w:before="40" w:after="40"/>
              <w:jc w:val="center"/>
            </w:pPr>
            <w:r>
              <w:rPr>
                <w:rFonts w:ascii="微软雅黑" w:hAnsi="微软雅黑" w:eastAsia="微软雅黑"/>
                <w:b/>
                <w:color w:val="FFFFFF"/>
                <w:sz w:val="20"/>
              </w:rPr>
              <w:t>行业层面（特定行业企业）</w:t>
            </w:r>
          </w:p>
        </w:tc>
      </w:tr>
      <w:tr>
        <w:tc>
          <w:tcPr>
            <w:tcW w:type="dxa" w:w="2078"/>
            <w:shd w:fill="F2F7FB"/>
          </w:tcPr>
          <w:p>
            <w:pPr>
              <w:spacing w:before="40" w:after="40"/>
              <w:jc w:val="center"/>
            </w:pPr>
            <w:r>
              <w:rPr>
                <w:rFonts w:ascii="微软雅黑" w:hAnsi="微软雅黑" w:eastAsia="微软雅黑"/>
                <w:b w:val="0"/>
                <w:sz w:val="20"/>
              </w:rPr>
              <w:t>数据来源</w:t>
            </w:r>
          </w:p>
        </w:tc>
        <w:tc>
          <w:tcPr>
            <w:tcW w:type="dxa" w:w="2078"/>
            <w:shd w:fill="F2F7FB"/>
          </w:tcPr>
          <w:p>
            <w:pPr>
              <w:spacing w:before="40" w:after="40"/>
              <w:jc w:val="center"/>
            </w:pPr>
            <w:r>
              <w:rPr>
                <w:rFonts w:ascii="微软雅黑" w:hAnsi="微软雅黑" w:eastAsia="微软雅黑"/>
                <w:b w:val="0"/>
                <w:sz w:val="20"/>
              </w:rPr>
              <w:t>中国统计年鉴、各省统计年鉴、中国科技统计年鉴、中国高技术产业统计年鉴</w:t>
            </w:r>
          </w:p>
        </w:tc>
        <w:tc>
          <w:tcPr>
            <w:tcW w:type="dxa" w:w="2078"/>
            <w:shd w:fill="F2F7FB"/>
          </w:tcPr>
          <w:p>
            <w:pPr>
              <w:spacing w:before="40" w:after="40"/>
              <w:jc w:val="center"/>
            </w:pPr>
            <w:r>
              <w:rPr>
                <w:rFonts w:ascii="微软雅黑" w:hAnsi="微软雅黑" w:eastAsia="微软雅黑"/>
                <w:b w:val="0"/>
                <w:sz w:val="20"/>
              </w:rPr>
              <w:t>中国城市统计年鉴、各地级市统计年鉴、CSMAR区域经济数据库、EPS数据平台</w:t>
            </w:r>
          </w:p>
        </w:tc>
        <w:tc>
          <w:tcPr>
            <w:tcW w:type="dxa" w:w="2078"/>
            <w:shd w:fill="F2F7FB"/>
          </w:tcPr>
          <w:p>
            <w:pPr>
              <w:spacing w:before="40" w:after="40"/>
              <w:jc w:val="center"/>
            </w:pPr>
            <w:r>
              <w:rPr>
                <w:rFonts w:ascii="微软雅黑" w:hAnsi="微软雅黑" w:eastAsia="微软雅黑"/>
                <w:b w:val="0"/>
                <w:sz w:val="20"/>
              </w:rPr>
              <w:t>CSMAR公司研究数据库、Wind金融终端、企业年报、行业监管数据、审计检查表</w:t>
            </w:r>
          </w:p>
        </w:tc>
      </w:tr>
      <w:tr>
        <w:tc>
          <w:tcPr>
            <w:tcW w:type="dxa" w:w="2078"/>
          </w:tcPr>
          <w:p>
            <w:pPr>
              <w:spacing w:before="40" w:after="40"/>
              <w:jc w:val="center"/>
            </w:pPr>
            <w:r>
              <w:rPr>
                <w:rFonts w:ascii="微软雅黑" w:hAnsi="微软雅黑" w:eastAsia="微软雅黑"/>
                <w:b w:val="0"/>
                <w:sz w:val="20"/>
              </w:rPr>
              <w:t>数据可及性</w:t>
            </w:r>
          </w:p>
        </w:tc>
        <w:tc>
          <w:tcPr>
            <w:tcW w:type="dxa" w:w="2078"/>
          </w:tcPr>
          <w:p>
            <w:pPr>
              <w:spacing w:before="40" w:after="40"/>
              <w:jc w:val="center"/>
            </w:pPr>
            <w:r>
              <w:rPr>
                <w:rFonts w:ascii="微软雅黑" w:hAnsi="微软雅黑" w:eastAsia="微软雅黑"/>
                <w:b w:val="0"/>
                <w:sz w:val="20"/>
              </w:rPr>
              <w:t>高——统计年鉴公开可获取，数据库覆盖全面</w:t>
            </w:r>
          </w:p>
        </w:tc>
        <w:tc>
          <w:tcPr>
            <w:tcW w:type="dxa" w:w="2078"/>
          </w:tcPr>
          <w:p>
            <w:pPr>
              <w:spacing w:before="40" w:after="40"/>
              <w:jc w:val="center"/>
            </w:pPr>
            <w:r>
              <w:rPr>
                <w:rFonts w:ascii="微软雅黑" w:hAnsi="微软雅黑" w:eastAsia="微软雅黑"/>
                <w:b w:val="0"/>
                <w:sz w:val="20"/>
              </w:rPr>
              <w:t>中高——城市统计年鉴部分指标不连续，需手动整理</w:t>
            </w:r>
          </w:p>
        </w:tc>
        <w:tc>
          <w:tcPr>
            <w:tcW w:type="dxa" w:w="2078"/>
          </w:tcPr>
          <w:p>
            <w:pPr>
              <w:spacing w:before="40" w:after="40"/>
              <w:jc w:val="center"/>
            </w:pPr>
            <w:r>
              <w:rPr>
                <w:rFonts w:ascii="微软雅黑" w:hAnsi="微软雅黑" w:eastAsia="微软雅黑"/>
                <w:b w:val="0"/>
                <w:sz w:val="20"/>
              </w:rPr>
              <w:t>中低——企业微观数据获取受限，审计数据有保密要求</w:t>
            </w:r>
          </w:p>
        </w:tc>
      </w:tr>
      <w:tr>
        <w:tc>
          <w:tcPr>
            <w:tcW w:type="dxa" w:w="2078"/>
            <w:shd w:fill="F2F7FB"/>
          </w:tcPr>
          <w:p>
            <w:pPr>
              <w:spacing w:before="40" w:after="40"/>
              <w:jc w:val="center"/>
            </w:pPr>
            <w:r>
              <w:rPr>
                <w:rFonts w:ascii="微软雅黑" w:hAnsi="微软雅黑" w:eastAsia="微软雅黑"/>
                <w:b w:val="0"/>
                <w:sz w:val="20"/>
              </w:rPr>
              <w:t>指标颗粒度</w:t>
            </w:r>
          </w:p>
        </w:tc>
        <w:tc>
          <w:tcPr>
            <w:tcW w:type="dxa" w:w="2078"/>
            <w:shd w:fill="F2F7FB"/>
          </w:tcPr>
          <w:p>
            <w:pPr>
              <w:spacing w:before="40" w:after="40"/>
              <w:jc w:val="center"/>
            </w:pPr>
            <w:r>
              <w:rPr>
                <w:rFonts w:ascii="微软雅黑" w:hAnsi="微软雅黑" w:eastAsia="微软雅黑"/>
                <w:b w:val="0"/>
                <w:sz w:val="20"/>
              </w:rPr>
              <w:t>粗——以省级总量指标为主</w:t>
            </w:r>
          </w:p>
        </w:tc>
        <w:tc>
          <w:tcPr>
            <w:tcW w:type="dxa" w:w="2078"/>
            <w:shd w:fill="F2F7FB"/>
          </w:tcPr>
          <w:p>
            <w:pPr>
              <w:spacing w:before="40" w:after="40"/>
              <w:jc w:val="center"/>
            </w:pPr>
            <w:r>
              <w:rPr>
                <w:rFonts w:ascii="微软雅黑" w:hAnsi="微软雅黑" w:eastAsia="微软雅黑"/>
                <w:b w:val="0"/>
                <w:sz w:val="20"/>
              </w:rPr>
              <w:t>中——城市层面可获取细分产业和科技指标</w:t>
            </w:r>
          </w:p>
        </w:tc>
        <w:tc>
          <w:tcPr>
            <w:tcW w:type="dxa" w:w="2078"/>
            <w:shd w:fill="F2F7FB"/>
          </w:tcPr>
          <w:p>
            <w:pPr>
              <w:spacing w:before="40" w:after="40"/>
              <w:jc w:val="center"/>
            </w:pPr>
            <w:r>
              <w:rPr>
                <w:rFonts w:ascii="微软雅黑" w:hAnsi="微软雅黑" w:eastAsia="微软雅黑"/>
                <w:b w:val="0"/>
                <w:sz w:val="20"/>
              </w:rPr>
              <w:t>细——企业层面可获取财务、创新、合规等微观指标</w:t>
            </w:r>
          </w:p>
        </w:tc>
      </w:tr>
      <w:tr>
        <w:tc>
          <w:tcPr>
            <w:tcW w:type="dxa" w:w="2078"/>
          </w:tcPr>
          <w:p>
            <w:pPr>
              <w:spacing w:before="40" w:after="40"/>
              <w:jc w:val="center"/>
            </w:pPr>
            <w:r>
              <w:rPr>
                <w:rFonts w:ascii="微软雅黑" w:hAnsi="微软雅黑" w:eastAsia="微软雅黑"/>
                <w:b w:val="0"/>
                <w:sz w:val="20"/>
              </w:rPr>
              <w:t>样本量</w:t>
            </w:r>
          </w:p>
        </w:tc>
        <w:tc>
          <w:tcPr>
            <w:tcW w:type="dxa" w:w="2078"/>
          </w:tcPr>
          <w:p>
            <w:pPr>
              <w:spacing w:before="40" w:after="40"/>
              <w:jc w:val="center"/>
            </w:pPr>
            <w:r>
              <w:rPr>
                <w:rFonts w:ascii="微软雅黑" w:hAnsi="微软雅黑" w:eastAsia="微软雅黑"/>
                <w:b w:val="0"/>
                <w:sz w:val="20"/>
              </w:rPr>
              <w:t>约30个（省/自治区/直辖市）</w:t>
            </w:r>
          </w:p>
        </w:tc>
        <w:tc>
          <w:tcPr>
            <w:tcW w:type="dxa" w:w="2078"/>
          </w:tcPr>
          <w:p>
            <w:pPr>
              <w:spacing w:before="40" w:after="40"/>
              <w:jc w:val="center"/>
            </w:pPr>
            <w:r>
              <w:rPr>
                <w:rFonts w:ascii="微软雅黑" w:hAnsi="微软雅黑" w:eastAsia="微软雅黑"/>
                <w:b w:val="0"/>
                <w:sz w:val="20"/>
              </w:rPr>
              <w:t>286—300个（地级及以上城市）</w:t>
            </w:r>
          </w:p>
        </w:tc>
        <w:tc>
          <w:tcPr>
            <w:tcW w:type="dxa" w:w="2078"/>
          </w:tcPr>
          <w:p>
            <w:pPr>
              <w:spacing w:before="40" w:after="40"/>
              <w:jc w:val="center"/>
            </w:pPr>
            <w:r>
              <w:rPr>
                <w:rFonts w:ascii="微软雅黑" w:hAnsi="微软雅黑" w:eastAsia="微软雅黑"/>
                <w:b w:val="0"/>
                <w:sz w:val="20"/>
              </w:rPr>
              <w:t>取决于行业企业数量（通常30—500家）</w:t>
            </w:r>
          </w:p>
        </w:tc>
      </w:tr>
      <w:tr>
        <w:tc>
          <w:tcPr>
            <w:tcW w:type="dxa" w:w="2078"/>
            <w:shd w:fill="F2F7FB"/>
          </w:tcPr>
          <w:p>
            <w:pPr>
              <w:spacing w:before="40" w:after="40"/>
              <w:jc w:val="center"/>
            </w:pPr>
            <w:r>
              <w:rPr>
                <w:rFonts w:ascii="微软雅黑" w:hAnsi="微软雅黑" w:eastAsia="微软雅黑"/>
                <w:b w:val="0"/>
                <w:sz w:val="20"/>
              </w:rPr>
              <w:t>空间分析可行性</w:t>
            </w:r>
          </w:p>
        </w:tc>
        <w:tc>
          <w:tcPr>
            <w:tcW w:type="dxa" w:w="2078"/>
            <w:shd w:fill="F2F7FB"/>
          </w:tcPr>
          <w:p>
            <w:pPr>
              <w:spacing w:before="40" w:after="40"/>
              <w:jc w:val="center"/>
            </w:pPr>
            <w:r>
              <w:rPr>
                <w:rFonts w:ascii="微软雅黑" w:hAnsi="微软雅黑" w:eastAsia="微软雅黑"/>
                <w:b w:val="0"/>
                <w:sz w:val="20"/>
              </w:rPr>
              <w:t>可进行空间计量分析，但空间单元较少，估计精度受限</w:t>
            </w:r>
          </w:p>
        </w:tc>
        <w:tc>
          <w:tcPr>
            <w:tcW w:type="dxa" w:w="2078"/>
            <w:shd w:fill="F2F7FB"/>
          </w:tcPr>
          <w:p>
            <w:pPr>
              <w:spacing w:before="40" w:after="40"/>
              <w:jc w:val="center"/>
            </w:pPr>
            <w:r>
              <w:rPr>
                <w:rFonts w:ascii="微软雅黑" w:hAnsi="微软雅黑" w:eastAsia="微软雅黑"/>
                <w:b w:val="0"/>
                <w:sz w:val="20"/>
              </w:rPr>
              <w:t>空间单元充足，可进行精细的空间自相关分析和空间计量建模</w:t>
            </w:r>
          </w:p>
        </w:tc>
        <w:tc>
          <w:tcPr>
            <w:tcW w:type="dxa" w:w="2078"/>
            <w:shd w:fill="F2F7FB"/>
          </w:tcPr>
          <w:p>
            <w:pPr>
              <w:spacing w:before="40" w:after="40"/>
              <w:jc w:val="center"/>
            </w:pPr>
            <w:r>
              <w:rPr>
                <w:rFonts w:ascii="微软雅黑" w:hAnsi="微软雅黑" w:eastAsia="微软雅黑"/>
                <w:b w:val="0"/>
                <w:sz w:val="20"/>
              </w:rPr>
              <w:t>企业地理位置可聚合至城市或省份层面，但企业本身非空间单元</w:t>
            </w:r>
          </w:p>
        </w:tc>
      </w:tr>
      <w:tr>
        <w:tc>
          <w:tcPr>
            <w:tcW w:type="dxa" w:w="2078"/>
          </w:tcPr>
          <w:p>
            <w:pPr>
              <w:spacing w:before="40" w:after="40"/>
              <w:jc w:val="center"/>
            </w:pPr>
            <w:r>
              <w:rPr>
                <w:rFonts w:ascii="微软雅黑" w:hAnsi="微软雅黑" w:eastAsia="微软雅黑"/>
                <w:b w:val="0"/>
                <w:sz w:val="20"/>
              </w:rPr>
              <w:t>结论有效性</w:t>
            </w:r>
          </w:p>
        </w:tc>
        <w:tc>
          <w:tcPr>
            <w:tcW w:type="dxa" w:w="2078"/>
          </w:tcPr>
          <w:p>
            <w:pPr>
              <w:spacing w:before="40" w:after="40"/>
              <w:jc w:val="center"/>
            </w:pPr>
            <w:r>
              <w:rPr>
                <w:rFonts w:ascii="微软雅黑" w:hAnsi="微软雅黑" w:eastAsia="微软雅黑"/>
                <w:b w:val="0"/>
                <w:sz w:val="20"/>
              </w:rPr>
              <w:t>宏观政策含义明确，但可能忽略省内异质性</w:t>
            </w:r>
          </w:p>
        </w:tc>
        <w:tc>
          <w:tcPr>
            <w:tcW w:type="dxa" w:w="2078"/>
          </w:tcPr>
          <w:p>
            <w:pPr>
              <w:spacing w:before="40" w:after="40"/>
              <w:jc w:val="center"/>
            </w:pPr>
            <w:r>
              <w:rPr>
                <w:rFonts w:ascii="微软雅黑" w:hAnsi="微软雅黑" w:eastAsia="微软雅黑"/>
                <w:b w:val="0"/>
                <w:sz w:val="20"/>
              </w:rPr>
              <w:t>兼顾宏观政策含义和区域异质性分析，结论更具针对性</w:t>
            </w:r>
          </w:p>
        </w:tc>
        <w:tc>
          <w:tcPr>
            <w:tcW w:type="dxa" w:w="2078"/>
          </w:tcPr>
          <w:p>
            <w:pPr>
              <w:spacing w:before="40" w:after="40"/>
              <w:jc w:val="center"/>
            </w:pPr>
            <w:r>
              <w:rPr>
                <w:rFonts w:ascii="微软雅黑" w:hAnsi="微软雅黑" w:eastAsia="微软雅黑"/>
                <w:b w:val="0"/>
                <w:sz w:val="20"/>
              </w:rPr>
              <w:t>微观机制分析深入，但外部有效性（一般性）受限</w:t>
            </w:r>
          </w:p>
        </w:tc>
      </w:tr>
      <w:tr>
        <w:tc>
          <w:tcPr>
            <w:tcW w:type="dxa" w:w="2078"/>
            <w:shd w:fill="F2F7FB"/>
          </w:tcPr>
          <w:p>
            <w:pPr>
              <w:spacing w:before="40" w:after="40"/>
              <w:jc w:val="center"/>
            </w:pPr>
            <w:r>
              <w:rPr>
                <w:rFonts w:ascii="微软雅黑" w:hAnsi="微软雅黑" w:eastAsia="微软雅黑"/>
                <w:b w:val="0"/>
                <w:sz w:val="20"/>
              </w:rPr>
              <w:t>代表性论文</w:t>
            </w:r>
          </w:p>
        </w:tc>
        <w:tc>
          <w:tcPr>
            <w:tcW w:type="dxa" w:w="2078"/>
            <w:shd w:fill="F2F7FB"/>
          </w:tcPr>
          <w:p>
            <w:pPr>
              <w:spacing w:before="40" w:after="40"/>
              <w:jc w:val="center"/>
            </w:pPr>
            <w:r>
              <w:rPr>
                <w:rFonts w:ascii="微软雅黑" w:hAnsi="微软雅黑" w:eastAsia="微软雅黑"/>
                <w:b w:val="0"/>
                <w:sz w:val="20"/>
              </w:rPr>
              <w:t>论文7（四链融合）、论文12（AI与制造业融合）</w:t>
            </w:r>
          </w:p>
        </w:tc>
        <w:tc>
          <w:tcPr>
            <w:tcW w:type="dxa" w:w="2078"/>
            <w:shd w:fill="F2F7FB"/>
          </w:tcPr>
          <w:p>
            <w:pPr>
              <w:spacing w:before="40" w:after="40"/>
              <w:jc w:val="center"/>
            </w:pPr>
            <w:r>
              <w:rPr>
                <w:rFonts w:ascii="微软雅黑" w:hAnsi="微软雅黑" w:eastAsia="微软雅黑"/>
                <w:b w:val="0"/>
                <w:sz w:val="20"/>
              </w:rPr>
              <w:t>论文4（AI科技创新）、论文8（新质生产力）</w:t>
            </w:r>
          </w:p>
        </w:tc>
        <w:tc>
          <w:tcPr>
            <w:tcW w:type="dxa" w:w="2078"/>
            <w:shd w:fill="F2F7FB"/>
          </w:tcPr>
          <w:p>
            <w:pPr>
              <w:spacing w:before="40" w:after="40"/>
              <w:jc w:val="center"/>
            </w:pPr>
            <w:r>
              <w:rPr>
                <w:rFonts w:ascii="微软雅黑" w:hAnsi="微软雅黑" w:eastAsia="微软雅黑"/>
                <w:b w:val="0"/>
                <w:sz w:val="20"/>
              </w:rPr>
              <w:t>论文3（公共数据开放与企业新质生产力）</w:t>
            </w:r>
          </w:p>
        </w:tc>
      </w:tr>
    </w:tbl>
    <w:p>
      <w:pPr>
        <w:spacing w:before="60" w:after="60"/>
      </w:pPr>
    </w:p>
    <w:p>
      <w:pPr>
        <w:spacing w:line="360" w:lineRule="auto" w:before="60" w:after="60"/>
        <w:ind w:firstLine="480"/>
        <w:jc w:val="both"/>
      </w:pPr>
      <w:r>
        <w:rPr>
          <w:rFonts w:ascii="宋体" w:hAnsi="宋体" w:eastAsia="宋体"/>
          <w:b w:val="0"/>
          <w:i w:val="0"/>
          <w:sz w:val="24"/>
        </w:rPr>
        <w:t>由上表可见，地级市层面在数据可及性、样本量、空间分析可行性和结论有效性方面达到了较好的平衡，是三个题目最为推荐的数据层级。省级层面的优势在于数据获取最为便捷，但样本量小、颗粒度粗；行业层面的优势在于微观分析深入，但数据获取难度大、保密要求高。</w:t>
      </w:r>
    </w:p>
    <w:p>
      <w:pPr>
        <w:spacing w:before="200" w:after="120"/>
      </w:pPr>
      <w:r>
        <w:rPr>
          <w:rFonts w:ascii="黑体" w:hAnsi="黑体" w:eastAsia="黑体"/>
          <w:b/>
          <w:sz w:val="26"/>
        </w:rPr>
        <w:t>表4-2  各题目在不同数据层级下的适用性评价</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tblGrid>
      <w:tr>
        <w:tc>
          <w:tcPr>
            <w:tcW w:type="dxa" w:w="1662"/>
            <w:shd w:fill="2F5496"/>
          </w:tcPr>
          <w:p>
            <w:pPr>
              <w:spacing w:before="40" w:after="40"/>
              <w:jc w:val="center"/>
            </w:pPr>
            <w:r>
              <w:rPr>
                <w:rFonts w:ascii="微软雅黑" w:hAnsi="微软雅黑" w:eastAsia="微软雅黑"/>
                <w:b/>
                <w:color w:val="FFFFFF"/>
                <w:sz w:val="20"/>
              </w:rPr>
              <w:t>题目</w:t>
            </w:r>
          </w:p>
        </w:tc>
        <w:tc>
          <w:tcPr>
            <w:tcW w:type="dxa" w:w="1662"/>
            <w:shd w:fill="2F5496"/>
          </w:tcPr>
          <w:p>
            <w:pPr>
              <w:spacing w:before="40" w:after="40"/>
              <w:jc w:val="center"/>
            </w:pPr>
            <w:r>
              <w:rPr>
                <w:rFonts w:ascii="微软雅黑" w:hAnsi="微软雅黑" w:eastAsia="微软雅黑"/>
                <w:b/>
                <w:color w:val="FFFFFF"/>
                <w:sz w:val="20"/>
              </w:rPr>
              <w:t>省级层面适用性</w:t>
            </w:r>
          </w:p>
        </w:tc>
        <w:tc>
          <w:tcPr>
            <w:tcW w:type="dxa" w:w="1662"/>
            <w:shd w:fill="2F5496"/>
          </w:tcPr>
          <w:p>
            <w:pPr>
              <w:spacing w:before="40" w:after="40"/>
              <w:jc w:val="center"/>
            </w:pPr>
            <w:r>
              <w:rPr>
                <w:rFonts w:ascii="微软雅黑" w:hAnsi="微软雅黑" w:eastAsia="微软雅黑"/>
                <w:b/>
                <w:color w:val="FFFFFF"/>
                <w:sz w:val="20"/>
              </w:rPr>
              <w:t>地级市层面适用性</w:t>
            </w:r>
          </w:p>
        </w:tc>
        <w:tc>
          <w:tcPr>
            <w:tcW w:type="dxa" w:w="1662"/>
            <w:shd w:fill="2F5496"/>
          </w:tcPr>
          <w:p>
            <w:pPr>
              <w:spacing w:before="40" w:after="40"/>
              <w:jc w:val="center"/>
            </w:pPr>
            <w:r>
              <w:rPr>
                <w:rFonts w:ascii="微软雅黑" w:hAnsi="微软雅黑" w:eastAsia="微软雅黑"/>
                <w:b/>
                <w:color w:val="FFFFFF"/>
                <w:sz w:val="20"/>
              </w:rPr>
              <w:t>行业层面适用性</w:t>
            </w:r>
          </w:p>
        </w:tc>
        <w:tc>
          <w:tcPr>
            <w:tcW w:type="dxa" w:w="1662"/>
            <w:shd w:fill="2F5496"/>
          </w:tcPr>
          <w:p>
            <w:pPr>
              <w:spacing w:before="40" w:after="40"/>
              <w:jc w:val="center"/>
            </w:pPr>
            <w:r>
              <w:rPr>
                <w:rFonts w:ascii="微软雅黑" w:hAnsi="微软雅黑" w:eastAsia="微软雅黑"/>
                <w:b/>
                <w:color w:val="FFFFFF"/>
                <w:sz w:val="20"/>
              </w:rPr>
              <w:t>综合评价</w:t>
            </w:r>
          </w:p>
        </w:tc>
      </w:tr>
      <w:tr>
        <w:tc>
          <w:tcPr>
            <w:tcW w:type="dxa" w:w="1662"/>
            <w:shd w:fill="F2F7FB"/>
          </w:tcPr>
          <w:p>
            <w:pPr>
              <w:spacing w:before="40" w:after="40"/>
              <w:jc w:val="center"/>
            </w:pPr>
            <w:r>
              <w:rPr>
                <w:rFonts w:ascii="微软雅黑" w:hAnsi="微软雅黑" w:eastAsia="微软雅黑"/>
                <w:b w:val="0"/>
                <w:sz w:val="20"/>
              </w:rPr>
              <w:t>题目一：新质生产力测度</w:t>
            </w:r>
          </w:p>
        </w:tc>
        <w:tc>
          <w:tcPr>
            <w:tcW w:type="dxa" w:w="1662"/>
            <w:shd w:fill="F2F7FB"/>
          </w:tcPr>
          <w:p>
            <w:pPr>
              <w:spacing w:before="40" w:after="40"/>
              <w:jc w:val="center"/>
            </w:pPr>
            <w:r>
              <w:rPr>
                <w:rFonts w:ascii="微软雅黑" w:hAnsi="微软雅黑" w:eastAsia="微软雅黑"/>
                <w:b w:val="0"/>
                <w:sz w:val="20"/>
              </w:rPr>
              <w:t>★★★★ 适用，但样本量偏小</w:t>
            </w:r>
          </w:p>
        </w:tc>
        <w:tc>
          <w:tcPr>
            <w:tcW w:type="dxa" w:w="1662"/>
            <w:shd w:fill="F2F7FB"/>
          </w:tcPr>
          <w:p>
            <w:pPr>
              <w:spacing w:before="40" w:after="40"/>
              <w:jc w:val="center"/>
            </w:pPr>
            <w:r>
              <w:rPr>
                <w:rFonts w:ascii="微软雅黑" w:hAnsi="微软雅黑" w:eastAsia="微软雅黑"/>
                <w:b w:val="0"/>
                <w:sz w:val="20"/>
              </w:rPr>
              <w:t>★★★★★ 最佳适用，样本充足，指标丰富</w:t>
            </w:r>
          </w:p>
        </w:tc>
        <w:tc>
          <w:tcPr>
            <w:tcW w:type="dxa" w:w="1662"/>
            <w:shd w:fill="F2F7FB"/>
          </w:tcPr>
          <w:p>
            <w:pPr>
              <w:spacing w:before="40" w:after="40"/>
              <w:jc w:val="center"/>
            </w:pPr>
            <w:r>
              <w:rPr>
                <w:rFonts w:ascii="微软雅黑" w:hAnsi="微软雅黑" w:eastAsia="微软雅黑"/>
                <w:b w:val="0"/>
                <w:sz w:val="20"/>
              </w:rPr>
              <w:t>★★★ 可做企业视角补充分析</w:t>
            </w:r>
          </w:p>
        </w:tc>
        <w:tc>
          <w:tcPr>
            <w:tcW w:type="dxa" w:w="1662"/>
            <w:shd w:fill="F2F7FB"/>
          </w:tcPr>
          <w:p>
            <w:pPr>
              <w:spacing w:before="40" w:after="40"/>
              <w:jc w:val="center"/>
            </w:pPr>
            <w:r>
              <w:rPr>
                <w:rFonts w:ascii="微软雅黑" w:hAnsi="微软雅黑" w:eastAsia="微软雅黑"/>
                <w:b w:val="0"/>
                <w:sz w:val="20"/>
              </w:rPr>
              <w:t>首选地级市层面</w:t>
            </w:r>
          </w:p>
        </w:tc>
      </w:tr>
      <w:tr>
        <w:tc>
          <w:tcPr>
            <w:tcW w:type="dxa" w:w="1662"/>
          </w:tcPr>
          <w:p>
            <w:pPr>
              <w:spacing w:before="40" w:after="40"/>
              <w:jc w:val="center"/>
            </w:pPr>
            <w:r>
              <w:rPr>
                <w:rFonts w:ascii="微软雅黑" w:hAnsi="微软雅黑" w:eastAsia="微软雅黑"/>
                <w:b w:val="0"/>
                <w:sz w:val="20"/>
              </w:rPr>
              <w:t>题目二：AI发展水平测度</w:t>
            </w:r>
          </w:p>
        </w:tc>
        <w:tc>
          <w:tcPr>
            <w:tcW w:type="dxa" w:w="1662"/>
          </w:tcPr>
          <w:p>
            <w:pPr>
              <w:spacing w:before="40" w:after="40"/>
              <w:jc w:val="center"/>
            </w:pPr>
            <w:r>
              <w:rPr>
                <w:rFonts w:ascii="微软雅黑" w:hAnsi="微软雅黑" w:eastAsia="微软雅黑"/>
                <w:b w:val="0"/>
                <w:sz w:val="20"/>
              </w:rPr>
              <w:t>★★★★ 适用，可参考论文12</w:t>
            </w:r>
          </w:p>
        </w:tc>
        <w:tc>
          <w:tcPr>
            <w:tcW w:type="dxa" w:w="1662"/>
          </w:tcPr>
          <w:p>
            <w:pPr>
              <w:spacing w:before="40" w:after="40"/>
              <w:jc w:val="center"/>
            </w:pPr>
            <w:r>
              <w:rPr>
                <w:rFonts w:ascii="微软雅黑" w:hAnsi="微软雅黑" w:eastAsia="微软雅黑"/>
                <w:b w:val="0"/>
                <w:sz w:val="20"/>
              </w:rPr>
              <w:t>★★★★★ 最佳适用，可参考论文4</w:t>
            </w:r>
          </w:p>
        </w:tc>
        <w:tc>
          <w:tcPr>
            <w:tcW w:type="dxa" w:w="1662"/>
          </w:tcPr>
          <w:p>
            <w:pPr>
              <w:spacing w:before="40" w:after="40"/>
              <w:jc w:val="center"/>
            </w:pPr>
            <w:r>
              <w:rPr>
                <w:rFonts w:ascii="微软雅黑" w:hAnsi="微软雅黑" w:eastAsia="微软雅黑"/>
                <w:b w:val="0"/>
                <w:sz w:val="20"/>
              </w:rPr>
              <w:t>★★★ 企业AI专利数据可用</w:t>
            </w:r>
          </w:p>
        </w:tc>
        <w:tc>
          <w:tcPr>
            <w:tcW w:type="dxa" w:w="1662"/>
          </w:tcPr>
          <w:p>
            <w:pPr>
              <w:spacing w:before="40" w:after="40"/>
              <w:jc w:val="center"/>
            </w:pPr>
            <w:r>
              <w:rPr>
                <w:rFonts w:ascii="微软雅黑" w:hAnsi="微软雅黑" w:eastAsia="微软雅黑"/>
                <w:b w:val="0"/>
                <w:sz w:val="20"/>
              </w:rPr>
              <w:t>首选地级市层面</w:t>
            </w:r>
          </w:p>
        </w:tc>
      </w:tr>
      <w:tr>
        <w:tc>
          <w:tcPr>
            <w:tcW w:type="dxa" w:w="1662"/>
            <w:shd w:fill="F2F7FB"/>
          </w:tcPr>
          <w:p>
            <w:pPr>
              <w:spacing w:before="40" w:after="40"/>
              <w:jc w:val="center"/>
            </w:pPr>
            <w:r>
              <w:rPr>
                <w:rFonts w:ascii="微软雅黑" w:hAnsi="微软雅黑" w:eastAsia="微软雅黑"/>
                <w:b w:val="0"/>
                <w:sz w:val="20"/>
              </w:rPr>
              <w:t>题目三：四链融合测度</w:t>
            </w:r>
          </w:p>
        </w:tc>
        <w:tc>
          <w:tcPr>
            <w:tcW w:type="dxa" w:w="1662"/>
            <w:shd w:fill="F2F7FB"/>
          </w:tcPr>
          <w:p>
            <w:pPr>
              <w:spacing w:before="40" w:after="40"/>
              <w:jc w:val="center"/>
            </w:pPr>
            <w:r>
              <w:rPr>
                <w:rFonts w:ascii="微软雅黑" w:hAnsi="微软雅黑" w:eastAsia="微软雅黑"/>
                <w:b w:val="0"/>
                <w:sz w:val="20"/>
              </w:rPr>
              <w:t>★★★★ 最佳适用，可参考论文7</w:t>
            </w:r>
          </w:p>
        </w:tc>
        <w:tc>
          <w:tcPr>
            <w:tcW w:type="dxa" w:w="1662"/>
            <w:shd w:fill="F2F7FB"/>
          </w:tcPr>
          <w:p>
            <w:pPr>
              <w:spacing w:before="40" w:after="40"/>
              <w:jc w:val="center"/>
            </w:pPr>
            <w:r>
              <w:rPr>
                <w:rFonts w:ascii="微软雅黑" w:hAnsi="微软雅黑" w:eastAsia="微软雅黑"/>
                <w:b w:val="0"/>
                <w:sz w:val="20"/>
              </w:rPr>
              <w:t>★★★ 地级市四链数据获取困难</w:t>
            </w:r>
          </w:p>
        </w:tc>
        <w:tc>
          <w:tcPr>
            <w:tcW w:type="dxa" w:w="1662"/>
            <w:shd w:fill="F2F7FB"/>
          </w:tcPr>
          <w:p>
            <w:pPr>
              <w:spacing w:before="40" w:after="40"/>
              <w:jc w:val="center"/>
            </w:pPr>
            <w:r>
              <w:rPr>
                <w:rFonts w:ascii="微软雅黑" w:hAnsi="微软雅黑" w:eastAsia="微软雅黑"/>
                <w:b w:val="0"/>
                <w:sz w:val="20"/>
              </w:rPr>
              <w:t>★★★ 行业层面可做特色切入</w:t>
            </w:r>
          </w:p>
        </w:tc>
        <w:tc>
          <w:tcPr>
            <w:tcW w:type="dxa" w:w="1662"/>
            <w:shd w:fill="F2F7FB"/>
          </w:tcPr>
          <w:p>
            <w:pPr>
              <w:spacing w:before="40" w:after="40"/>
              <w:jc w:val="center"/>
            </w:pPr>
            <w:r>
              <w:rPr>
                <w:rFonts w:ascii="微软雅黑" w:hAnsi="微软雅黑" w:eastAsia="微软雅黑"/>
                <w:b w:val="0"/>
                <w:sz w:val="20"/>
              </w:rPr>
              <w:t>首选省级层面</w:t>
            </w:r>
          </w:p>
        </w:tc>
      </w:tr>
    </w:tbl>
    <w:p>
      <w:r>
        <w:br w:type="page"/>
      </w:r>
    </w:p>
    <w:p>
      <w:pPr>
        <w:spacing w:before="360" w:after="240"/>
      </w:pPr>
      <w:r>
        <w:rPr>
          <w:rFonts w:ascii="黑体" w:hAnsi="黑体" w:eastAsia="黑体"/>
          <w:b/>
          <w:sz w:val="32"/>
        </w:rPr>
        <w:t>第五章  纵向数据对比分析</w:t>
      </w:r>
    </w:p>
    <w:p>
      <w:pPr>
        <w:spacing w:line="360" w:lineRule="auto" w:before="60" w:after="60"/>
        <w:ind w:firstLine="480"/>
        <w:jc w:val="both"/>
      </w:pPr>
      <w:r>
        <w:rPr>
          <w:rFonts w:ascii="宋体" w:hAnsi="宋体" w:eastAsia="宋体"/>
          <w:b w:val="0"/>
          <w:i w:val="0"/>
          <w:sz w:val="24"/>
        </w:rPr>
        <w:t>本章分别对三个题目在省级、地级市和行业三种数据选择下进行纵向深度分析，包括所需核心指标列表、数据获取渠道、缺失数据处理方案、数据时效性、获取难度评估和后期结论有效性评估。</w:t>
      </w:r>
    </w:p>
    <w:p>
      <w:pPr>
        <w:spacing w:before="240" w:after="120"/>
      </w:pPr>
      <w:r>
        <w:rPr>
          <w:rFonts w:ascii="黑体" w:hAnsi="黑体" w:eastAsia="黑体"/>
          <w:b/>
          <w:sz w:val="28"/>
        </w:rPr>
        <w:t>5.1  题目一：新质生产力发展水平测度</w:t>
      </w:r>
    </w:p>
    <w:p>
      <w:pPr>
        <w:spacing w:before="200" w:after="120"/>
      </w:pPr>
      <w:r>
        <w:rPr>
          <w:rFonts w:ascii="黑体" w:hAnsi="黑体" w:eastAsia="黑体"/>
          <w:b/>
          <w:sz w:val="26"/>
        </w:rPr>
        <w:t>表5-1  题目一纵向数据对比分析</w:t>
      </w:r>
    </w:p>
    <w:tbl>
      <w:tblPr>
        <w:tblStyle w:val="TableGrid"/>
        <w:tblW w:type="auto" w:w="0"/>
        <w:jc w:val="center"/>
        <w:tblLayout w:type="autofit"/>
        <w:tblLook w:firstColumn="1" w:firstRow="1" w:lastColumn="0" w:lastRow="0" w:noHBand="0" w:noVBand="1" w:val="04A0"/>
      </w:tblPr>
      <w:tblGrid>
        <w:gridCol w:w="2078"/>
        <w:gridCol w:w="2078"/>
        <w:gridCol w:w="2078"/>
        <w:gridCol w:w="2078"/>
      </w:tblGrid>
      <w:tr>
        <w:tc>
          <w:tcPr>
            <w:tcW w:type="dxa" w:w="2078"/>
            <w:shd w:fill="2F5496"/>
          </w:tcPr>
          <w:p>
            <w:pPr>
              <w:spacing w:before="40" w:after="40"/>
              <w:jc w:val="center"/>
            </w:pPr>
            <w:r>
              <w:rPr>
                <w:rFonts w:ascii="微软雅黑" w:hAnsi="微软雅黑" w:eastAsia="微软雅黑"/>
                <w:b/>
                <w:color w:val="FFFFFF"/>
                <w:sz w:val="20"/>
              </w:rPr>
              <w:t>分析维度</w:t>
            </w:r>
          </w:p>
        </w:tc>
        <w:tc>
          <w:tcPr>
            <w:tcW w:type="dxa" w:w="2078"/>
            <w:shd w:fill="2F5496"/>
          </w:tcPr>
          <w:p>
            <w:pPr>
              <w:spacing w:before="40" w:after="40"/>
              <w:jc w:val="center"/>
            </w:pPr>
            <w:r>
              <w:rPr>
                <w:rFonts w:ascii="微软雅黑" w:hAnsi="微软雅黑" w:eastAsia="微软雅黑"/>
                <w:b/>
                <w:color w:val="FFFFFF"/>
                <w:sz w:val="20"/>
              </w:rPr>
              <w:t>省级层面</w:t>
            </w:r>
          </w:p>
        </w:tc>
        <w:tc>
          <w:tcPr>
            <w:tcW w:type="dxa" w:w="2078"/>
            <w:shd w:fill="2F5496"/>
          </w:tcPr>
          <w:p>
            <w:pPr>
              <w:spacing w:before="40" w:after="40"/>
              <w:jc w:val="center"/>
            </w:pPr>
            <w:r>
              <w:rPr>
                <w:rFonts w:ascii="微软雅黑" w:hAnsi="微软雅黑" w:eastAsia="微软雅黑"/>
                <w:b/>
                <w:color w:val="FFFFFF"/>
                <w:sz w:val="20"/>
              </w:rPr>
              <w:t>地级市层面</w:t>
            </w:r>
          </w:p>
        </w:tc>
        <w:tc>
          <w:tcPr>
            <w:tcW w:type="dxa" w:w="2078"/>
            <w:shd w:fill="2F5496"/>
          </w:tcPr>
          <w:p>
            <w:pPr>
              <w:spacing w:before="40" w:after="40"/>
              <w:jc w:val="center"/>
            </w:pPr>
            <w:r>
              <w:rPr>
                <w:rFonts w:ascii="微软雅黑" w:hAnsi="微软雅黑" w:eastAsia="微软雅黑"/>
                <w:b/>
                <w:color w:val="FFFFFF"/>
                <w:sz w:val="20"/>
              </w:rPr>
              <w:t>行业层面</w:t>
            </w:r>
          </w:p>
        </w:tc>
      </w:tr>
      <w:tr>
        <w:tc>
          <w:tcPr>
            <w:tcW w:type="dxa" w:w="2078"/>
            <w:shd w:fill="F2F7FB"/>
          </w:tcPr>
          <w:p>
            <w:pPr>
              <w:spacing w:before="40" w:after="40"/>
              <w:jc w:val="center"/>
            </w:pPr>
            <w:r>
              <w:rPr>
                <w:rFonts w:ascii="微软雅黑" w:hAnsi="微软雅黑" w:eastAsia="微软雅黑"/>
                <w:b w:val="0"/>
                <w:sz w:val="20"/>
              </w:rPr>
              <w:t>核心指标</w:t>
            </w:r>
          </w:p>
        </w:tc>
        <w:tc>
          <w:tcPr>
            <w:tcW w:type="dxa" w:w="2078"/>
            <w:shd w:fill="F2F7FB"/>
          </w:tcPr>
          <w:p>
            <w:pPr>
              <w:spacing w:before="40" w:after="40"/>
              <w:jc w:val="center"/>
            </w:pPr>
            <w:r>
              <w:rPr>
                <w:rFonts w:ascii="微软雅黑" w:hAnsi="微软雅黑" w:eastAsia="微软雅黑"/>
                <w:b w:val="0"/>
                <w:sz w:val="20"/>
              </w:rPr>
              <w:t>R&amp;D经费支出、专利授权量、高技术产业增加值、单位GDP能耗、数字经济增加值占比等8—10个指标</w:t>
            </w:r>
          </w:p>
        </w:tc>
        <w:tc>
          <w:tcPr>
            <w:tcW w:type="dxa" w:w="2078"/>
            <w:shd w:fill="F2F7FB"/>
          </w:tcPr>
          <w:p>
            <w:pPr>
              <w:spacing w:before="40" w:after="40"/>
              <w:jc w:val="center"/>
            </w:pPr>
            <w:r>
              <w:rPr>
                <w:rFonts w:ascii="微软雅黑" w:hAnsi="微软雅黑" w:eastAsia="微软雅黑"/>
                <w:b w:val="0"/>
                <w:sz w:val="20"/>
              </w:rPr>
              <w:t>同上，另加城市R&amp;D人员数、高新技术企业数量、绿色专利授权量、互联网宽带接入用户数等12—15个指标</w:t>
            </w:r>
          </w:p>
        </w:tc>
        <w:tc>
          <w:tcPr>
            <w:tcW w:type="dxa" w:w="2078"/>
            <w:shd w:fill="F2F7FB"/>
          </w:tcPr>
          <w:p>
            <w:pPr>
              <w:spacing w:before="40" w:after="40"/>
              <w:jc w:val="center"/>
            </w:pPr>
            <w:r>
              <w:rPr>
                <w:rFonts w:ascii="微软雅黑" w:hAnsi="微软雅黑" w:eastAsia="微软雅黑"/>
                <w:b w:val="0"/>
                <w:sz w:val="20"/>
              </w:rPr>
              <w:t>企业研发投入强度、绿色专利数量、数字化投入占比、TFP增长率等企业微观指标</w:t>
            </w:r>
          </w:p>
        </w:tc>
      </w:tr>
      <w:tr>
        <w:tc>
          <w:tcPr>
            <w:tcW w:type="dxa" w:w="2078"/>
          </w:tcPr>
          <w:p>
            <w:pPr>
              <w:spacing w:before="40" w:after="40"/>
              <w:jc w:val="center"/>
            </w:pPr>
            <w:r>
              <w:rPr>
                <w:rFonts w:ascii="微软雅黑" w:hAnsi="微软雅黑" w:eastAsia="微软雅黑"/>
                <w:b w:val="0"/>
                <w:sz w:val="20"/>
              </w:rPr>
              <w:t>数据获取渠道</w:t>
            </w:r>
          </w:p>
        </w:tc>
        <w:tc>
          <w:tcPr>
            <w:tcW w:type="dxa" w:w="2078"/>
          </w:tcPr>
          <w:p>
            <w:pPr>
              <w:spacing w:before="40" w:after="40"/>
              <w:jc w:val="center"/>
            </w:pPr>
            <w:r>
              <w:rPr>
                <w:rFonts w:ascii="微软雅黑" w:hAnsi="微软雅黑" w:eastAsia="微软雅黑"/>
                <w:b w:val="0"/>
                <w:sz w:val="20"/>
              </w:rPr>
              <w:t>《中国统计年鉴》《中国科技统计年鉴》《中国能源统计年鉴》、国家统计局官网</w:t>
            </w:r>
          </w:p>
        </w:tc>
        <w:tc>
          <w:tcPr>
            <w:tcW w:type="dxa" w:w="2078"/>
          </w:tcPr>
          <w:p>
            <w:pPr>
              <w:spacing w:before="40" w:after="40"/>
              <w:jc w:val="center"/>
            </w:pPr>
            <w:r>
              <w:rPr>
                <w:rFonts w:ascii="微软雅黑" w:hAnsi="微软雅黑" w:eastAsia="微软雅黑"/>
                <w:b w:val="0"/>
                <w:sz w:val="20"/>
              </w:rPr>
              <w:t>《中国城市统计年鉴》、各省统计年鉴、CSMAR数据库、EPS数据平台、Wind</w:t>
            </w:r>
          </w:p>
        </w:tc>
        <w:tc>
          <w:tcPr>
            <w:tcW w:type="dxa" w:w="2078"/>
          </w:tcPr>
          <w:p>
            <w:pPr>
              <w:spacing w:before="40" w:after="40"/>
              <w:jc w:val="center"/>
            </w:pPr>
            <w:r>
              <w:rPr>
                <w:rFonts w:ascii="微软雅黑" w:hAnsi="微软雅黑" w:eastAsia="微软雅黑"/>
                <w:b w:val="0"/>
                <w:sz w:val="20"/>
              </w:rPr>
              <w:t>CSMAR公司数据库、Wind、CNRDS、企业年报、审计检查表（用户自有的2600条数据）</w:t>
            </w:r>
          </w:p>
        </w:tc>
      </w:tr>
      <w:tr>
        <w:tc>
          <w:tcPr>
            <w:tcW w:type="dxa" w:w="2078"/>
            <w:shd w:fill="F2F7FB"/>
          </w:tcPr>
          <w:p>
            <w:pPr>
              <w:spacing w:before="40" w:after="40"/>
              <w:jc w:val="center"/>
            </w:pPr>
            <w:r>
              <w:rPr>
                <w:rFonts w:ascii="微软雅黑" w:hAnsi="微软雅黑" w:eastAsia="微软雅黑"/>
                <w:b w:val="0"/>
                <w:sz w:val="20"/>
              </w:rPr>
              <w:t>缺失数据处理</w:t>
            </w:r>
          </w:p>
        </w:tc>
        <w:tc>
          <w:tcPr>
            <w:tcW w:type="dxa" w:w="2078"/>
            <w:shd w:fill="F2F7FB"/>
          </w:tcPr>
          <w:p>
            <w:pPr>
              <w:spacing w:before="40" w:after="40"/>
              <w:jc w:val="center"/>
            </w:pPr>
            <w:r>
              <w:rPr>
                <w:rFonts w:ascii="微软雅黑" w:hAnsi="微软雅黑" w:eastAsia="微软雅黑"/>
                <w:b w:val="0"/>
                <w:sz w:val="20"/>
              </w:rPr>
              <w:t>省级数据较完整，缺失率低（&lt;5%），可用线性插值法</w:t>
            </w:r>
          </w:p>
        </w:tc>
        <w:tc>
          <w:tcPr>
            <w:tcW w:type="dxa" w:w="2078"/>
            <w:shd w:fill="F2F7FB"/>
          </w:tcPr>
          <w:p>
            <w:pPr>
              <w:spacing w:before="40" w:after="40"/>
              <w:jc w:val="center"/>
            </w:pPr>
            <w:r>
              <w:rPr>
                <w:rFonts w:ascii="微软雅黑" w:hAnsi="微软雅黑" w:eastAsia="微软雅黑"/>
                <w:b w:val="0"/>
                <w:sz w:val="20"/>
              </w:rPr>
              <w:t>部分地级市数据不连续，缺失率约10%—15%，建议多重插补或剔除缺失严重城市</w:t>
            </w:r>
          </w:p>
        </w:tc>
        <w:tc>
          <w:tcPr>
            <w:tcW w:type="dxa" w:w="2078"/>
            <w:shd w:fill="F2F7FB"/>
          </w:tcPr>
          <w:p>
            <w:pPr>
              <w:spacing w:before="40" w:after="40"/>
              <w:jc w:val="center"/>
            </w:pPr>
            <w:r>
              <w:rPr>
                <w:rFonts w:ascii="微软雅黑" w:hAnsi="微软雅黑" w:eastAsia="微软雅黑"/>
                <w:b w:val="0"/>
                <w:sz w:val="20"/>
              </w:rPr>
              <w:t>企业数据缺失不均，部分中小企业和非上市企业数据难获取，需样本筛选</w:t>
            </w:r>
          </w:p>
        </w:tc>
      </w:tr>
      <w:tr>
        <w:tc>
          <w:tcPr>
            <w:tcW w:type="dxa" w:w="2078"/>
          </w:tcPr>
          <w:p>
            <w:pPr>
              <w:spacing w:before="40" w:after="40"/>
              <w:jc w:val="center"/>
            </w:pPr>
            <w:r>
              <w:rPr>
                <w:rFonts w:ascii="微软雅黑" w:hAnsi="微软雅黑" w:eastAsia="微软雅黑"/>
                <w:b w:val="0"/>
                <w:sz w:val="20"/>
              </w:rPr>
              <w:t>数据时效性</w:t>
            </w:r>
          </w:p>
        </w:tc>
        <w:tc>
          <w:tcPr>
            <w:tcW w:type="dxa" w:w="2078"/>
          </w:tcPr>
          <w:p>
            <w:pPr>
              <w:spacing w:before="40" w:after="40"/>
              <w:jc w:val="center"/>
            </w:pPr>
            <w:r>
              <w:rPr>
                <w:rFonts w:ascii="微软雅黑" w:hAnsi="微软雅黑" w:eastAsia="微软雅黑"/>
                <w:b w:val="0"/>
                <w:sz w:val="20"/>
              </w:rPr>
              <w:t>统计年鉴滞后1—2年，2022年数据可获取</w:t>
            </w:r>
          </w:p>
        </w:tc>
        <w:tc>
          <w:tcPr>
            <w:tcW w:type="dxa" w:w="2078"/>
          </w:tcPr>
          <w:p>
            <w:pPr>
              <w:spacing w:before="40" w:after="40"/>
              <w:jc w:val="center"/>
            </w:pPr>
            <w:r>
              <w:rPr>
                <w:rFonts w:ascii="微软雅黑" w:hAnsi="微软雅黑" w:eastAsia="微软雅黑"/>
                <w:b w:val="0"/>
                <w:sz w:val="20"/>
              </w:rPr>
              <w:t>城市统计年鉴滞后1—2年，部分指标更新至2022年</w:t>
            </w:r>
          </w:p>
        </w:tc>
        <w:tc>
          <w:tcPr>
            <w:tcW w:type="dxa" w:w="2078"/>
          </w:tcPr>
          <w:p>
            <w:pPr>
              <w:spacing w:before="40" w:after="40"/>
              <w:jc w:val="center"/>
            </w:pPr>
            <w:r>
              <w:rPr>
                <w:rFonts w:ascii="微软雅黑" w:hAnsi="微软雅黑" w:eastAsia="微软雅黑"/>
                <w:b w:val="0"/>
                <w:sz w:val="20"/>
              </w:rPr>
              <w:t>企业年报及时性好，上市公司季度更新，非上市企业数据更新不规律</w:t>
            </w:r>
          </w:p>
        </w:tc>
      </w:tr>
      <w:tr>
        <w:tc>
          <w:tcPr>
            <w:tcW w:type="dxa" w:w="2078"/>
            <w:shd w:fill="F2F7FB"/>
          </w:tcPr>
          <w:p>
            <w:pPr>
              <w:spacing w:before="40" w:after="40"/>
              <w:jc w:val="center"/>
            </w:pPr>
            <w:r>
              <w:rPr>
                <w:rFonts w:ascii="微软雅黑" w:hAnsi="微软雅黑" w:eastAsia="微软雅黑"/>
                <w:b w:val="0"/>
                <w:sz w:val="20"/>
              </w:rPr>
              <w:t>获取难度评估</w:t>
            </w:r>
          </w:p>
        </w:tc>
        <w:tc>
          <w:tcPr>
            <w:tcW w:type="dxa" w:w="2078"/>
            <w:shd w:fill="F2F7FB"/>
          </w:tcPr>
          <w:p>
            <w:pPr>
              <w:spacing w:before="40" w:after="40"/>
              <w:jc w:val="center"/>
            </w:pPr>
            <w:r>
              <w:rPr>
                <w:rFonts w:ascii="微软雅黑" w:hAnsi="微软雅黑" w:eastAsia="微软雅黑"/>
                <w:b w:val="0"/>
                <w:sz w:val="20"/>
              </w:rPr>
              <w:t>1分（非常容易）</w:t>
            </w:r>
          </w:p>
        </w:tc>
        <w:tc>
          <w:tcPr>
            <w:tcW w:type="dxa" w:w="2078"/>
            <w:shd w:fill="F2F7FB"/>
          </w:tcPr>
          <w:p>
            <w:pPr>
              <w:spacing w:before="40" w:after="40"/>
              <w:jc w:val="center"/>
            </w:pPr>
            <w:r>
              <w:rPr>
                <w:rFonts w:ascii="微软雅黑" w:hAnsi="微软雅黑" w:eastAsia="微软雅黑"/>
                <w:b w:val="0"/>
                <w:sz w:val="20"/>
              </w:rPr>
              <w:t>2分（较容易，需手动整理）</w:t>
            </w:r>
          </w:p>
        </w:tc>
        <w:tc>
          <w:tcPr>
            <w:tcW w:type="dxa" w:w="2078"/>
            <w:shd w:fill="F2F7FB"/>
          </w:tcPr>
          <w:p>
            <w:pPr>
              <w:spacing w:before="40" w:after="40"/>
              <w:jc w:val="center"/>
            </w:pPr>
            <w:r>
              <w:rPr>
                <w:rFonts w:ascii="微软雅黑" w:hAnsi="微软雅黑" w:eastAsia="微软雅黑"/>
                <w:b w:val="0"/>
                <w:sz w:val="20"/>
              </w:rPr>
              <w:t>3分（中等，需多源整合）</w:t>
            </w:r>
          </w:p>
        </w:tc>
      </w:tr>
      <w:tr>
        <w:tc>
          <w:tcPr>
            <w:tcW w:type="dxa" w:w="2078"/>
          </w:tcPr>
          <w:p>
            <w:pPr>
              <w:spacing w:before="40" w:after="40"/>
              <w:jc w:val="center"/>
            </w:pPr>
            <w:r>
              <w:rPr>
                <w:rFonts w:ascii="微软雅黑" w:hAnsi="微软雅黑" w:eastAsia="微软雅黑"/>
                <w:b w:val="0"/>
                <w:sz w:val="20"/>
              </w:rPr>
              <w:t>结论有效性评估</w:t>
            </w:r>
          </w:p>
        </w:tc>
        <w:tc>
          <w:tcPr>
            <w:tcW w:type="dxa" w:w="2078"/>
          </w:tcPr>
          <w:p>
            <w:pPr>
              <w:spacing w:before="40" w:after="40"/>
              <w:jc w:val="center"/>
            </w:pPr>
            <w:r>
              <w:rPr>
                <w:rFonts w:ascii="微软雅黑" w:hAnsi="微软雅黑" w:eastAsia="微软雅黑"/>
                <w:b w:val="0"/>
                <w:sz w:val="20"/>
              </w:rPr>
              <w:t>宏观结论有效，但省内异质性被忽略</w:t>
            </w:r>
          </w:p>
        </w:tc>
        <w:tc>
          <w:tcPr>
            <w:tcW w:type="dxa" w:w="2078"/>
          </w:tcPr>
          <w:p>
            <w:pPr>
              <w:spacing w:before="40" w:after="40"/>
              <w:jc w:val="center"/>
            </w:pPr>
            <w:r>
              <w:rPr>
                <w:rFonts w:ascii="微软雅黑" w:hAnsi="微软雅黑" w:eastAsia="微软雅黑"/>
                <w:b w:val="0"/>
                <w:sz w:val="20"/>
              </w:rPr>
              <w:t>兼顾宏观与中观，结论针对性强，政策含义明确</w:t>
            </w:r>
          </w:p>
        </w:tc>
        <w:tc>
          <w:tcPr>
            <w:tcW w:type="dxa" w:w="2078"/>
          </w:tcPr>
          <w:p>
            <w:pPr>
              <w:spacing w:before="40" w:after="40"/>
              <w:jc w:val="center"/>
            </w:pPr>
            <w:r>
              <w:rPr>
                <w:rFonts w:ascii="微软雅黑" w:hAnsi="微软雅黑" w:eastAsia="微软雅黑"/>
                <w:b w:val="0"/>
                <w:sz w:val="20"/>
              </w:rPr>
              <w:t>微观机制深入，但外部有效性受限</w:t>
            </w:r>
          </w:p>
        </w:tc>
      </w:tr>
    </w:tbl>
    <w:p>
      <w:pPr>
        <w:spacing w:before="240" w:after="120"/>
      </w:pPr>
      <w:r>
        <w:rPr>
          <w:rFonts w:ascii="黑体" w:hAnsi="黑体" w:eastAsia="黑体"/>
          <w:b/>
          <w:sz w:val="28"/>
        </w:rPr>
        <w:t>5.2  题目二：人工智能发展水平测度</w:t>
      </w:r>
    </w:p>
    <w:p>
      <w:pPr>
        <w:spacing w:before="200" w:after="120"/>
      </w:pPr>
      <w:r>
        <w:rPr>
          <w:rFonts w:ascii="黑体" w:hAnsi="黑体" w:eastAsia="黑体"/>
          <w:b/>
          <w:sz w:val="26"/>
        </w:rPr>
        <w:t>表5-2  题目二纵向数据对比分析</w:t>
      </w:r>
    </w:p>
    <w:tbl>
      <w:tblPr>
        <w:tblStyle w:val="TableGrid"/>
        <w:tblW w:type="auto" w:w="0"/>
        <w:jc w:val="center"/>
        <w:tblLayout w:type="autofit"/>
        <w:tblLook w:firstColumn="1" w:firstRow="1" w:lastColumn="0" w:lastRow="0" w:noHBand="0" w:noVBand="1" w:val="04A0"/>
      </w:tblPr>
      <w:tblGrid>
        <w:gridCol w:w="2078"/>
        <w:gridCol w:w="2078"/>
        <w:gridCol w:w="2078"/>
        <w:gridCol w:w="2078"/>
      </w:tblGrid>
      <w:tr>
        <w:tc>
          <w:tcPr>
            <w:tcW w:type="dxa" w:w="2078"/>
            <w:shd w:fill="2F5496"/>
          </w:tcPr>
          <w:p>
            <w:pPr>
              <w:spacing w:before="40" w:after="40"/>
              <w:jc w:val="center"/>
            </w:pPr>
            <w:r>
              <w:rPr>
                <w:rFonts w:ascii="微软雅黑" w:hAnsi="微软雅黑" w:eastAsia="微软雅黑"/>
                <w:b/>
                <w:color w:val="FFFFFF"/>
                <w:sz w:val="20"/>
              </w:rPr>
              <w:t>分析维度</w:t>
            </w:r>
          </w:p>
        </w:tc>
        <w:tc>
          <w:tcPr>
            <w:tcW w:type="dxa" w:w="2078"/>
            <w:shd w:fill="2F5496"/>
          </w:tcPr>
          <w:p>
            <w:pPr>
              <w:spacing w:before="40" w:after="40"/>
              <w:jc w:val="center"/>
            </w:pPr>
            <w:r>
              <w:rPr>
                <w:rFonts w:ascii="微软雅黑" w:hAnsi="微软雅黑" w:eastAsia="微软雅黑"/>
                <w:b/>
                <w:color w:val="FFFFFF"/>
                <w:sz w:val="20"/>
              </w:rPr>
              <w:t>省级层面</w:t>
            </w:r>
          </w:p>
        </w:tc>
        <w:tc>
          <w:tcPr>
            <w:tcW w:type="dxa" w:w="2078"/>
            <w:shd w:fill="2F5496"/>
          </w:tcPr>
          <w:p>
            <w:pPr>
              <w:spacing w:before="40" w:after="40"/>
              <w:jc w:val="center"/>
            </w:pPr>
            <w:r>
              <w:rPr>
                <w:rFonts w:ascii="微软雅黑" w:hAnsi="微软雅黑" w:eastAsia="微软雅黑"/>
                <w:b/>
                <w:color w:val="FFFFFF"/>
                <w:sz w:val="20"/>
              </w:rPr>
              <w:t>地级市层面</w:t>
            </w:r>
          </w:p>
        </w:tc>
        <w:tc>
          <w:tcPr>
            <w:tcW w:type="dxa" w:w="2078"/>
            <w:shd w:fill="2F5496"/>
          </w:tcPr>
          <w:p>
            <w:pPr>
              <w:spacing w:before="40" w:after="40"/>
              <w:jc w:val="center"/>
            </w:pPr>
            <w:r>
              <w:rPr>
                <w:rFonts w:ascii="微软雅黑" w:hAnsi="微软雅黑" w:eastAsia="微软雅黑"/>
                <w:b/>
                <w:color w:val="FFFFFF"/>
                <w:sz w:val="20"/>
              </w:rPr>
              <w:t>行业层面</w:t>
            </w:r>
          </w:p>
        </w:tc>
      </w:tr>
      <w:tr>
        <w:tc>
          <w:tcPr>
            <w:tcW w:type="dxa" w:w="2078"/>
            <w:shd w:fill="F2F7FB"/>
          </w:tcPr>
          <w:p>
            <w:pPr>
              <w:spacing w:before="40" w:after="40"/>
              <w:jc w:val="center"/>
            </w:pPr>
            <w:r>
              <w:rPr>
                <w:rFonts w:ascii="微软雅黑" w:hAnsi="微软雅黑" w:eastAsia="微软雅黑"/>
                <w:b w:val="0"/>
                <w:sz w:val="20"/>
              </w:rPr>
              <w:t>核心指标</w:t>
            </w:r>
          </w:p>
        </w:tc>
        <w:tc>
          <w:tcPr>
            <w:tcW w:type="dxa" w:w="2078"/>
            <w:shd w:fill="F2F7FB"/>
          </w:tcPr>
          <w:p>
            <w:pPr>
              <w:spacing w:before="40" w:after="40"/>
              <w:jc w:val="center"/>
            </w:pPr>
            <w:r>
              <w:rPr>
                <w:rFonts w:ascii="微软雅黑" w:hAnsi="微软雅黑" w:eastAsia="微软雅黑"/>
                <w:b w:val="0"/>
                <w:sz w:val="20"/>
              </w:rPr>
              <w:t>AI企业数量、AI专利授权量、信息传输/软件业增加值、R&amp;D人员数、互联网普及率等</w:t>
            </w:r>
          </w:p>
        </w:tc>
        <w:tc>
          <w:tcPr>
            <w:tcW w:type="dxa" w:w="2078"/>
            <w:shd w:fill="F2F7FB"/>
          </w:tcPr>
          <w:p>
            <w:pPr>
              <w:spacing w:before="40" w:after="40"/>
              <w:jc w:val="center"/>
            </w:pPr>
            <w:r>
              <w:rPr>
                <w:rFonts w:ascii="微软雅黑" w:hAnsi="微软雅黑" w:eastAsia="微软雅黑"/>
                <w:b w:val="0"/>
                <w:sz w:val="20"/>
              </w:rPr>
              <w:t>AI企业注册数、AI专利数量（按城市）、高技术产业从业人员、互联网宽带接入用户数、数字经济指数等</w:t>
            </w:r>
          </w:p>
        </w:tc>
        <w:tc>
          <w:tcPr>
            <w:tcW w:type="dxa" w:w="2078"/>
            <w:shd w:fill="F2F7FB"/>
          </w:tcPr>
          <w:p>
            <w:pPr>
              <w:spacing w:before="40" w:after="40"/>
              <w:jc w:val="center"/>
            </w:pPr>
            <w:r>
              <w:rPr>
                <w:rFonts w:ascii="微软雅黑" w:hAnsi="微软雅黑" w:eastAsia="微软雅黑"/>
                <w:b w:val="0"/>
                <w:sz w:val="20"/>
              </w:rPr>
              <w:t>企业AI专利数、AI相关研发投入、AI技术应用场景数量、智能化改造投入等</w:t>
            </w:r>
          </w:p>
        </w:tc>
      </w:tr>
      <w:tr>
        <w:tc>
          <w:tcPr>
            <w:tcW w:type="dxa" w:w="2078"/>
          </w:tcPr>
          <w:p>
            <w:pPr>
              <w:spacing w:before="40" w:after="40"/>
              <w:jc w:val="center"/>
            </w:pPr>
            <w:r>
              <w:rPr>
                <w:rFonts w:ascii="微软雅黑" w:hAnsi="微软雅黑" w:eastAsia="微软雅黑"/>
                <w:b w:val="0"/>
                <w:sz w:val="20"/>
              </w:rPr>
              <w:t>数据获取渠道</w:t>
            </w:r>
          </w:p>
        </w:tc>
        <w:tc>
          <w:tcPr>
            <w:tcW w:type="dxa" w:w="2078"/>
          </w:tcPr>
          <w:p>
            <w:pPr>
              <w:spacing w:before="40" w:after="40"/>
              <w:jc w:val="center"/>
            </w:pPr>
            <w:r>
              <w:rPr>
                <w:rFonts w:ascii="微软雅黑" w:hAnsi="微软雅黑" w:eastAsia="微软雅黑"/>
                <w:b w:val="0"/>
                <w:sz w:val="20"/>
              </w:rPr>
              <w:t>《中国统计年鉴》《中国高技术产业统计年鉴》、中国信通院报告</w:t>
            </w:r>
          </w:p>
        </w:tc>
        <w:tc>
          <w:tcPr>
            <w:tcW w:type="dxa" w:w="2078"/>
          </w:tcPr>
          <w:p>
            <w:pPr>
              <w:spacing w:before="40" w:after="40"/>
              <w:jc w:val="center"/>
            </w:pPr>
            <w:r>
              <w:rPr>
                <w:rFonts w:ascii="微软雅黑" w:hAnsi="微软雅黑" w:eastAsia="微软雅黑"/>
                <w:b w:val="0"/>
                <w:sz w:val="20"/>
              </w:rPr>
              <w:t>《中国城市统计年鉴》、CSMAR、incoPat专利数据库、企查查企业数据库</w:t>
            </w:r>
          </w:p>
        </w:tc>
        <w:tc>
          <w:tcPr>
            <w:tcW w:type="dxa" w:w="2078"/>
          </w:tcPr>
          <w:p>
            <w:pPr>
              <w:spacing w:before="40" w:after="40"/>
              <w:jc w:val="center"/>
            </w:pPr>
            <w:r>
              <w:rPr>
                <w:rFonts w:ascii="微软雅黑" w:hAnsi="微软雅黑" w:eastAsia="微软雅黑"/>
                <w:b w:val="0"/>
                <w:sz w:val="20"/>
              </w:rPr>
              <w:t>CSMAR、Wind、企业年报、企查查、天眼查</w:t>
            </w:r>
          </w:p>
        </w:tc>
      </w:tr>
      <w:tr>
        <w:tc>
          <w:tcPr>
            <w:tcW w:type="dxa" w:w="2078"/>
            <w:shd w:fill="F2F7FB"/>
          </w:tcPr>
          <w:p>
            <w:pPr>
              <w:spacing w:before="40" w:after="40"/>
              <w:jc w:val="center"/>
            </w:pPr>
            <w:r>
              <w:rPr>
                <w:rFonts w:ascii="微软雅黑" w:hAnsi="微软雅黑" w:eastAsia="微软雅黑"/>
                <w:b w:val="0"/>
                <w:sz w:val="20"/>
              </w:rPr>
              <w:t>缺失数据处理</w:t>
            </w:r>
          </w:p>
        </w:tc>
        <w:tc>
          <w:tcPr>
            <w:tcW w:type="dxa" w:w="2078"/>
            <w:shd w:fill="F2F7FB"/>
          </w:tcPr>
          <w:p>
            <w:pPr>
              <w:spacing w:before="40" w:after="40"/>
              <w:jc w:val="center"/>
            </w:pPr>
            <w:r>
              <w:rPr>
                <w:rFonts w:ascii="微软雅黑" w:hAnsi="微软雅黑" w:eastAsia="微软雅黑"/>
                <w:b w:val="0"/>
                <w:sz w:val="20"/>
              </w:rPr>
              <w:t>省级数据完整，缺失率低</w:t>
            </w:r>
          </w:p>
        </w:tc>
        <w:tc>
          <w:tcPr>
            <w:tcW w:type="dxa" w:w="2078"/>
            <w:shd w:fill="F2F7FB"/>
          </w:tcPr>
          <w:p>
            <w:pPr>
              <w:spacing w:before="40" w:after="40"/>
              <w:jc w:val="center"/>
            </w:pPr>
            <w:r>
              <w:rPr>
                <w:rFonts w:ascii="微软雅黑" w:hAnsi="微软雅黑" w:eastAsia="微软雅黑"/>
                <w:b w:val="0"/>
                <w:sz w:val="20"/>
              </w:rPr>
              <w:t>专利数据可完整获取，经济指标部分城市缺失（约10%），可用插值法</w:t>
            </w:r>
          </w:p>
        </w:tc>
        <w:tc>
          <w:tcPr>
            <w:tcW w:type="dxa" w:w="2078"/>
            <w:shd w:fill="F2F7FB"/>
          </w:tcPr>
          <w:p>
            <w:pPr>
              <w:spacing w:before="40" w:after="40"/>
              <w:jc w:val="center"/>
            </w:pPr>
            <w:r>
              <w:rPr>
                <w:rFonts w:ascii="微软雅黑" w:hAnsi="微软雅黑" w:eastAsia="微软雅黑"/>
                <w:b w:val="0"/>
                <w:sz w:val="20"/>
              </w:rPr>
              <w:t>中小企业AI数据缺失严重，需以大型企业为主</w:t>
            </w:r>
          </w:p>
        </w:tc>
      </w:tr>
      <w:tr>
        <w:tc>
          <w:tcPr>
            <w:tcW w:type="dxa" w:w="2078"/>
          </w:tcPr>
          <w:p>
            <w:pPr>
              <w:spacing w:before="40" w:after="40"/>
              <w:jc w:val="center"/>
            </w:pPr>
            <w:r>
              <w:rPr>
                <w:rFonts w:ascii="微软雅黑" w:hAnsi="微软雅黑" w:eastAsia="微软雅黑"/>
                <w:b w:val="0"/>
                <w:sz w:val="20"/>
              </w:rPr>
              <w:t>数据时效性</w:t>
            </w:r>
          </w:p>
        </w:tc>
        <w:tc>
          <w:tcPr>
            <w:tcW w:type="dxa" w:w="2078"/>
          </w:tcPr>
          <w:p>
            <w:pPr>
              <w:spacing w:before="40" w:after="40"/>
              <w:jc w:val="center"/>
            </w:pPr>
            <w:r>
              <w:rPr>
                <w:rFonts w:ascii="微软雅黑" w:hAnsi="微软雅黑" w:eastAsia="微软雅黑"/>
                <w:b w:val="0"/>
                <w:sz w:val="20"/>
              </w:rPr>
              <w:t>较好，可获取至2023年</w:t>
            </w:r>
          </w:p>
        </w:tc>
        <w:tc>
          <w:tcPr>
            <w:tcW w:type="dxa" w:w="2078"/>
          </w:tcPr>
          <w:p>
            <w:pPr>
              <w:spacing w:before="40" w:after="40"/>
              <w:jc w:val="center"/>
            </w:pPr>
            <w:r>
              <w:rPr>
                <w:rFonts w:ascii="微软雅黑" w:hAnsi="微软雅黑" w:eastAsia="微软雅黑"/>
                <w:b w:val="0"/>
                <w:sz w:val="20"/>
              </w:rPr>
              <w:t>较好，专利数据实时更新</w:t>
            </w:r>
          </w:p>
        </w:tc>
        <w:tc>
          <w:tcPr>
            <w:tcW w:type="dxa" w:w="2078"/>
          </w:tcPr>
          <w:p>
            <w:pPr>
              <w:spacing w:before="40" w:after="40"/>
              <w:jc w:val="center"/>
            </w:pPr>
            <w:r>
              <w:rPr>
                <w:rFonts w:ascii="微软雅黑" w:hAnsi="微软雅黑" w:eastAsia="微软雅黑"/>
                <w:b w:val="0"/>
                <w:sz w:val="20"/>
              </w:rPr>
              <w:t>好，上市公司数据及时</w:t>
            </w:r>
          </w:p>
        </w:tc>
      </w:tr>
      <w:tr>
        <w:tc>
          <w:tcPr>
            <w:tcW w:type="dxa" w:w="2078"/>
            <w:shd w:fill="F2F7FB"/>
          </w:tcPr>
          <w:p>
            <w:pPr>
              <w:spacing w:before="40" w:after="40"/>
              <w:jc w:val="center"/>
            </w:pPr>
            <w:r>
              <w:rPr>
                <w:rFonts w:ascii="微软雅黑" w:hAnsi="微软雅黑" w:eastAsia="微软雅黑"/>
                <w:b w:val="0"/>
                <w:sz w:val="20"/>
              </w:rPr>
              <w:t>获取难度评估</w:t>
            </w:r>
          </w:p>
        </w:tc>
        <w:tc>
          <w:tcPr>
            <w:tcW w:type="dxa" w:w="2078"/>
            <w:shd w:fill="F2F7FB"/>
          </w:tcPr>
          <w:p>
            <w:pPr>
              <w:spacing w:before="40" w:after="40"/>
              <w:jc w:val="center"/>
            </w:pPr>
            <w:r>
              <w:rPr>
                <w:rFonts w:ascii="微软雅黑" w:hAnsi="微软雅黑" w:eastAsia="微软雅黑"/>
                <w:b w:val="0"/>
                <w:sz w:val="20"/>
              </w:rPr>
              <w:t>1分（非常容易）</w:t>
            </w:r>
          </w:p>
        </w:tc>
        <w:tc>
          <w:tcPr>
            <w:tcW w:type="dxa" w:w="2078"/>
            <w:shd w:fill="F2F7FB"/>
          </w:tcPr>
          <w:p>
            <w:pPr>
              <w:spacing w:before="40" w:after="40"/>
              <w:jc w:val="center"/>
            </w:pPr>
            <w:r>
              <w:rPr>
                <w:rFonts w:ascii="微软雅黑" w:hAnsi="微软雅黑" w:eastAsia="微软雅黑"/>
                <w:b w:val="0"/>
                <w:sz w:val="20"/>
              </w:rPr>
              <w:t>2分（较容易）</w:t>
            </w:r>
          </w:p>
        </w:tc>
        <w:tc>
          <w:tcPr>
            <w:tcW w:type="dxa" w:w="2078"/>
            <w:shd w:fill="F2F7FB"/>
          </w:tcPr>
          <w:p>
            <w:pPr>
              <w:spacing w:before="40" w:after="40"/>
              <w:jc w:val="center"/>
            </w:pPr>
            <w:r>
              <w:rPr>
                <w:rFonts w:ascii="微软雅黑" w:hAnsi="微软雅黑" w:eastAsia="微软雅黑"/>
                <w:b w:val="0"/>
                <w:sz w:val="20"/>
              </w:rPr>
              <w:t>3分（中等偏难）</w:t>
            </w:r>
          </w:p>
        </w:tc>
      </w:tr>
      <w:tr>
        <w:tc>
          <w:tcPr>
            <w:tcW w:type="dxa" w:w="2078"/>
          </w:tcPr>
          <w:p>
            <w:pPr>
              <w:spacing w:before="40" w:after="40"/>
              <w:jc w:val="center"/>
            </w:pPr>
            <w:r>
              <w:rPr>
                <w:rFonts w:ascii="微软雅黑" w:hAnsi="微软雅黑" w:eastAsia="微软雅黑"/>
                <w:b w:val="0"/>
                <w:sz w:val="20"/>
              </w:rPr>
              <w:t>结论有效性评估</w:t>
            </w:r>
          </w:p>
        </w:tc>
        <w:tc>
          <w:tcPr>
            <w:tcW w:type="dxa" w:w="2078"/>
          </w:tcPr>
          <w:p>
            <w:pPr>
              <w:spacing w:before="40" w:after="40"/>
              <w:jc w:val="center"/>
            </w:pPr>
            <w:r>
              <w:rPr>
                <w:rFonts w:ascii="微软雅黑" w:hAnsi="微软雅黑" w:eastAsia="微软雅黑"/>
                <w:b w:val="0"/>
                <w:sz w:val="20"/>
              </w:rPr>
              <w:t>有效但较宏观</w:t>
            </w:r>
          </w:p>
        </w:tc>
        <w:tc>
          <w:tcPr>
            <w:tcW w:type="dxa" w:w="2078"/>
          </w:tcPr>
          <w:p>
            <w:pPr>
              <w:spacing w:before="40" w:after="40"/>
              <w:jc w:val="center"/>
            </w:pPr>
            <w:r>
              <w:rPr>
                <w:rFonts w:ascii="微软雅黑" w:hAnsi="微软雅黑" w:eastAsia="微软雅黑"/>
                <w:b w:val="0"/>
                <w:sz w:val="20"/>
              </w:rPr>
              <w:t>最有效，空间分析充分</w:t>
            </w:r>
          </w:p>
        </w:tc>
        <w:tc>
          <w:tcPr>
            <w:tcW w:type="dxa" w:w="2078"/>
          </w:tcPr>
          <w:p>
            <w:pPr>
              <w:spacing w:before="40" w:after="40"/>
              <w:jc w:val="center"/>
            </w:pPr>
            <w:r>
              <w:rPr>
                <w:rFonts w:ascii="微软雅黑" w:hAnsi="微软雅黑" w:eastAsia="微软雅黑"/>
                <w:b w:val="0"/>
                <w:sz w:val="20"/>
              </w:rPr>
              <w:t>有效但样本代表性需论证</w:t>
            </w:r>
          </w:p>
        </w:tc>
      </w:tr>
    </w:tbl>
    <w:p>
      <w:pPr>
        <w:spacing w:before="240" w:after="120"/>
      </w:pPr>
      <w:r>
        <w:rPr>
          <w:rFonts w:ascii="黑体" w:hAnsi="黑体" w:eastAsia="黑体"/>
          <w:b/>
          <w:sz w:val="28"/>
        </w:rPr>
        <w:t>5.3  题目三：四链融合水平测度</w:t>
      </w:r>
    </w:p>
    <w:p>
      <w:pPr>
        <w:spacing w:before="200" w:after="120"/>
      </w:pPr>
      <w:r>
        <w:rPr>
          <w:rFonts w:ascii="黑体" w:hAnsi="黑体" w:eastAsia="黑体"/>
          <w:b/>
          <w:sz w:val="26"/>
        </w:rPr>
        <w:t>表5-3  题目三纵向数据对比分析</w:t>
      </w:r>
    </w:p>
    <w:tbl>
      <w:tblPr>
        <w:tblStyle w:val="TableGrid"/>
        <w:tblW w:type="auto" w:w="0"/>
        <w:jc w:val="center"/>
        <w:tblLayout w:type="autofit"/>
        <w:tblLook w:firstColumn="1" w:firstRow="1" w:lastColumn="0" w:lastRow="0" w:noHBand="0" w:noVBand="1" w:val="04A0"/>
      </w:tblPr>
      <w:tblGrid>
        <w:gridCol w:w="2078"/>
        <w:gridCol w:w="2078"/>
        <w:gridCol w:w="2078"/>
        <w:gridCol w:w="2078"/>
      </w:tblGrid>
      <w:tr>
        <w:tc>
          <w:tcPr>
            <w:tcW w:type="dxa" w:w="2078"/>
            <w:shd w:fill="2F5496"/>
          </w:tcPr>
          <w:p>
            <w:pPr>
              <w:spacing w:before="40" w:after="40"/>
              <w:jc w:val="center"/>
            </w:pPr>
            <w:r>
              <w:rPr>
                <w:rFonts w:ascii="微软雅黑" w:hAnsi="微软雅黑" w:eastAsia="微软雅黑"/>
                <w:b/>
                <w:color w:val="FFFFFF"/>
                <w:sz w:val="20"/>
              </w:rPr>
              <w:t>分析维度</w:t>
            </w:r>
          </w:p>
        </w:tc>
        <w:tc>
          <w:tcPr>
            <w:tcW w:type="dxa" w:w="2078"/>
            <w:shd w:fill="2F5496"/>
          </w:tcPr>
          <w:p>
            <w:pPr>
              <w:spacing w:before="40" w:after="40"/>
              <w:jc w:val="center"/>
            </w:pPr>
            <w:r>
              <w:rPr>
                <w:rFonts w:ascii="微软雅黑" w:hAnsi="微软雅黑" w:eastAsia="微软雅黑"/>
                <w:b/>
                <w:color w:val="FFFFFF"/>
                <w:sz w:val="20"/>
              </w:rPr>
              <w:t>省级层面</w:t>
            </w:r>
          </w:p>
        </w:tc>
        <w:tc>
          <w:tcPr>
            <w:tcW w:type="dxa" w:w="2078"/>
            <w:shd w:fill="2F5496"/>
          </w:tcPr>
          <w:p>
            <w:pPr>
              <w:spacing w:before="40" w:after="40"/>
              <w:jc w:val="center"/>
            </w:pPr>
            <w:r>
              <w:rPr>
                <w:rFonts w:ascii="微软雅黑" w:hAnsi="微软雅黑" w:eastAsia="微软雅黑"/>
                <w:b/>
                <w:color w:val="FFFFFF"/>
                <w:sz w:val="20"/>
              </w:rPr>
              <w:t>地级市层面</w:t>
            </w:r>
          </w:p>
        </w:tc>
        <w:tc>
          <w:tcPr>
            <w:tcW w:type="dxa" w:w="2078"/>
            <w:shd w:fill="2F5496"/>
          </w:tcPr>
          <w:p>
            <w:pPr>
              <w:spacing w:before="40" w:after="40"/>
              <w:jc w:val="center"/>
            </w:pPr>
            <w:r>
              <w:rPr>
                <w:rFonts w:ascii="微软雅黑" w:hAnsi="微软雅黑" w:eastAsia="微软雅黑"/>
                <w:b/>
                <w:color w:val="FFFFFF"/>
                <w:sz w:val="20"/>
              </w:rPr>
              <w:t>行业层面</w:t>
            </w:r>
          </w:p>
        </w:tc>
      </w:tr>
      <w:tr>
        <w:tc>
          <w:tcPr>
            <w:tcW w:type="dxa" w:w="2078"/>
            <w:shd w:fill="F2F7FB"/>
          </w:tcPr>
          <w:p>
            <w:pPr>
              <w:spacing w:before="40" w:after="40"/>
              <w:jc w:val="center"/>
            </w:pPr>
            <w:r>
              <w:rPr>
                <w:rFonts w:ascii="微软雅黑" w:hAnsi="微软雅黑" w:eastAsia="微软雅黑"/>
                <w:b w:val="0"/>
                <w:sz w:val="20"/>
              </w:rPr>
              <w:t>核心指标</w:t>
            </w:r>
          </w:p>
        </w:tc>
        <w:tc>
          <w:tcPr>
            <w:tcW w:type="dxa" w:w="2078"/>
            <w:shd w:fill="F2F7FB"/>
          </w:tcPr>
          <w:p>
            <w:pPr>
              <w:spacing w:before="40" w:after="40"/>
              <w:jc w:val="center"/>
            </w:pPr>
            <w:r>
              <w:rPr>
                <w:rFonts w:ascii="微软雅黑" w:hAnsi="微软雅黑" w:eastAsia="微软雅黑"/>
                <w:b w:val="0"/>
                <w:sz w:val="20"/>
              </w:rPr>
              <w:t>创新链：R&amp;D经费/人员、专利数；产业链：工业增加值、高技术产业营收；资金链：科技金融贷款、风险投资额；人才链：高学历人才占比等（约20个指标）</w:t>
            </w:r>
          </w:p>
        </w:tc>
        <w:tc>
          <w:tcPr>
            <w:tcW w:type="dxa" w:w="2078"/>
            <w:shd w:fill="F2F7FB"/>
          </w:tcPr>
          <w:p>
            <w:pPr>
              <w:spacing w:before="40" w:after="40"/>
              <w:jc w:val="center"/>
            </w:pPr>
            <w:r>
              <w:rPr>
                <w:rFonts w:ascii="微软雅黑" w:hAnsi="微软雅黑" w:eastAsia="微软雅黑"/>
                <w:b w:val="0"/>
                <w:sz w:val="20"/>
              </w:rPr>
              <w:t>地级市层面的资金链和人才链分环节数据极为稀缺，仅能获取部分创新链和产业链指标</w:t>
            </w:r>
          </w:p>
        </w:tc>
        <w:tc>
          <w:tcPr>
            <w:tcW w:type="dxa" w:w="2078"/>
            <w:shd w:fill="F2F7FB"/>
          </w:tcPr>
          <w:p>
            <w:pPr>
              <w:spacing w:before="40" w:after="40"/>
              <w:jc w:val="center"/>
            </w:pPr>
            <w:r>
              <w:rPr>
                <w:rFonts w:ascii="微软雅黑" w:hAnsi="微软雅黑" w:eastAsia="微软雅黑"/>
                <w:b w:val="0"/>
                <w:sz w:val="20"/>
              </w:rPr>
              <w:t>企业层面可获取R&amp;D投入、专利、营收、融资等指标，但分环节对应困难</w:t>
            </w:r>
          </w:p>
        </w:tc>
      </w:tr>
      <w:tr>
        <w:tc>
          <w:tcPr>
            <w:tcW w:type="dxa" w:w="2078"/>
          </w:tcPr>
          <w:p>
            <w:pPr>
              <w:spacing w:before="40" w:after="40"/>
              <w:jc w:val="center"/>
            </w:pPr>
            <w:r>
              <w:rPr>
                <w:rFonts w:ascii="微软雅黑" w:hAnsi="微软雅黑" w:eastAsia="微软雅黑"/>
                <w:b w:val="0"/>
                <w:sz w:val="20"/>
              </w:rPr>
              <w:t>数据获取渠道</w:t>
            </w:r>
          </w:p>
        </w:tc>
        <w:tc>
          <w:tcPr>
            <w:tcW w:type="dxa" w:w="2078"/>
          </w:tcPr>
          <w:p>
            <w:pPr>
              <w:spacing w:before="40" w:after="40"/>
              <w:jc w:val="center"/>
            </w:pPr>
            <w:r>
              <w:rPr>
                <w:rFonts w:ascii="微软雅黑" w:hAnsi="微软雅黑" w:eastAsia="微软雅黑"/>
                <w:b w:val="0"/>
                <w:sz w:val="20"/>
              </w:rPr>
              <w:t>《中国统计年鉴》《中国科技统计年鉴》、科技部官网、中国火炬统计年鉴</w:t>
            </w:r>
          </w:p>
        </w:tc>
        <w:tc>
          <w:tcPr>
            <w:tcW w:type="dxa" w:w="2078"/>
          </w:tcPr>
          <w:p>
            <w:pPr>
              <w:spacing w:before="40" w:after="40"/>
              <w:jc w:val="center"/>
            </w:pPr>
            <w:r>
              <w:rPr>
                <w:rFonts w:ascii="微软雅黑" w:hAnsi="微软雅黑" w:eastAsia="微软雅黑"/>
                <w:b w:val="0"/>
                <w:sz w:val="20"/>
              </w:rPr>
              <w:t>《中国城市统计年鉴》、省级科技统计年鉴、Wind（部分指标）</w:t>
            </w:r>
          </w:p>
        </w:tc>
        <w:tc>
          <w:tcPr>
            <w:tcW w:type="dxa" w:w="2078"/>
          </w:tcPr>
          <w:p>
            <w:pPr>
              <w:spacing w:before="40" w:after="40"/>
              <w:jc w:val="center"/>
            </w:pPr>
            <w:r>
              <w:rPr>
                <w:rFonts w:ascii="微软雅黑" w:hAnsi="微软雅黑" w:eastAsia="微软雅黑"/>
                <w:b w:val="0"/>
                <w:sz w:val="20"/>
              </w:rPr>
              <w:t>CSMAR、Wind、企业年报、CVSource投中数据</w:t>
            </w:r>
          </w:p>
        </w:tc>
      </w:tr>
      <w:tr>
        <w:tc>
          <w:tcPr>
            <w:tcW w:type="dxa" w:w="2078"/>
            <w:shd w:fill="F2F7FB"/>
          </w:tcPr>
          <w:p>
            <w:pPr>
              <w:spacing w:before="40" w:after="40"/>
              <w:jc w:val="center"/>
            </w:pPr>
            <w:r>
              <w:rPr>
                <w:rFonts w:ascii="微软雅黑" w:hAnsi="微软雅黑" w:eastAsia="微软雅黑"/>
                <w:b w:val="0"/>
                <w:sz w:val="20"/>
              </w:rPr>
              <w:t>缺失数据处理</w:t>
            </w:r>
          </w:p>
        </w:tc>
        <w:tc>
          <w:tcPr>
            <w:tcW w:type="dxa" w:w="2078"/>
            <w:shd w:fill="F2F7FB"/>
          </w:tcPr>
          <w:p>
            <w:pPr>
              <w:spacing w:before="40" w:after="40"/>
              <w:jc w:val="center"/>
            </w:pPr>
            <w:r>
              <w:rPr>
                <w:rFonts w:ascii="微软雅黑" w:hAnsi="微软雅黑" w:eastAsia="微软雅黑"/>
                <w:b w:val="0"/>
                <w:sz w:val="20"/>
              </w:rPr>
              <w:t>省级数据完整度约80%，资金链数据需估算</w:t>
            </w:r>
          </w:p>
        </w:tc>
        <w:tc>
          <w:tcPr>
            <w:tcW w:type="dxa" w:w="2078"/>
            <w:shd w:fill="F2F7FB"/>
          </w:tcPr>
          <w:p>
            <w:pPr>
              <w:spacing w:before="40" w:after="40"/>
              <w:jc w:val="center"/>
            </w:pPr>
            <w:r>
              <w:rPr>
                <w:rFonts w:ascii="微软雅黑" w:hAnsi="微软雅黑" w:eastAsia="微软雅黑"/>
                <w:b w:val="0"/>
                <w:sz w:val="20"/>
              </w:rPr>
              <w:t>地级市数据缺失严重（&gt;30%），四链融合测度可行性低</w:t>
            </w:r>
          </w:p>
        </w:tc>
        <w:tc>
          <w:tcPr>
            <w:tcW w:type="dxa" w:w="2078"/>
            <w:shd w:fill="F2F7FB"/>
          </w:tcPr>
          <w:p>
            <w:pPr>
              <w:spacing w:before="40" w:after="40"/>
              <w:jc w:val="center"/>
            </w:pPr>
            <w:r>
              <w:rPr>
                <w:rFonts w:ascii="微软雅黑" w:hAnsi="微软雅黑" w:eastAsia="微软雅黑"/>
                <w:b w:val="0"/>
                <w:sz w:val="20"/>
              </w:rPr>
              <w:t>企业数据不均匀，仅上市企业数据可获取</w:t>
            </w:r>
          </w:p>
        </w:tc>
      </w:tr>
      <w:tr>
        <w:tc>
          <w:tcPr>
            <w:tcW w:type="dxa" w:w="2078"/>
          </w:tcPr>
          <w:p>
            <w:pPr>
              <w:spacing w:before="40" w:after="40"/>
              <w:jc w:val="center"/>
            </w:pPr>
            <w:r>
              <w:rPr>
                <w:rFonts w:ascii="微软雅黑" w:hAnsi="微软雅黑" w:eastAsia="微软雅黑"/>
                <w:b w:val="0"/>
                <w:sz w:val="20"/>
              </w:rPr>
              <w:t>数据时效性</w:t>
            </w:r>
          </w:p>
        </w:tc>
        <w:tc>
          <w:tcPr>
            <w:tcW w:type="dxa" w:w="2078"/>
          </w:tcPr>
          <w:p>
            <w:pPr>
              <w:spacing w:before="40" w:after="40"/>
              <w:jc w:val="center"/>
            </w:pPr>
            <w:r>
              <w:rPr>
                <w:rFonts w:ascii="微软雅黑" w:hAnsi="微软雅黑" w:eastAsia="微软雅黑"/>
                <w:b w:val="0"/>
                <w:sz w:val="20"/>
              </w:rPr>
              <w:t>中等，统计年鉴滞后1—2年</w:t>
            </w:r>
          </w:p>
        </w:tc>
        <w:tc>
          <w:tcPr>
            <w:tcW w:type="dxa" w:w="2078"/>
          </w:tcPr>
          <w:p>
            <w:pPr>
              <w:spacing w:before="40" w:after="40"/>
              <w:jc w:val="center"/>
            </w:pPr>
            <w:r>
              <w:rPr>
                <w:rFonts w:ascii="微软雅黑" w:hAnsi="微软雅黑" w:eastAsia="微软雅黑"/>
                <w:b w:val="0"/>
                <w:sz w:val="20"/>
              </w:rPr>
              <w:t>较差，地级市资金/人才数据更新慢</w:t>
            </w:r>
          </w:p>
        </w:tc>
        <w:tc>
          <w:tcPr>
            <w:tcW w:type="dxa" w:w="2078"/>
          </w:tcPr>
          <w:p>
            <w:pPr>
              <w:spacing w:before="40" w:after="40"/>
              <w:jc w:val="center"/>
            </w:pPr>
            <w:r>
              <w:rPr>
                <w:rFonts w:ascii="微软雅黑" w:hAnsi="微软雅黑" w:eastAsia="微软雅黑"/>
                <w:b w:val="0"/>
                <w:sz w:val="20"/>
              </w:rPr>
              <w:t>好，上市公司数据及时</w:t>
            </w:r>
          </w:p>
        </w:tc>
      </w:tr>
      <w:tr>
        <w:tc>
          <w:tcPr>
            <w:tcW w:type="dxa" w:w="2078"/>
            <w:shd w:fill="F2F7FB"/>
          </w:tcPr>
          <w:p>
            <w:pPr>
              <w:spacing w:before="40" w:after="40"/>
              <w:jc w:val="center"/>
            </w:pPr>
            <w:r>
              <w:rPr>
                <w:rFonts w:ascii="微软雅黑" w:hAnsi="微软雅黑" w:eastAsia="微软雅黑"/>
                <w:b w:val="0"/>
                <w:sz w:val="20"/>
              </w:rPr>
              <w:t>获取难度评估</w:t>
            </w:r>
          </w:p>
        </w:tc>
        <w:tc>
          <w:tcPr>
            <w:tcW w:type="dxa" w:w="2078"/>
            <w:shd w:fill="F2F7FB"/>
          </w:tcPr>
          <w:p>
            <w:pPr>
              <w:spacing w:before="40" w:after="40"/>
              <w:jc w:val="center"/>
            </w:pPr>
            <w:r>
              <w:rPr>
                <w:rFonts w:ascii="微软雅黑" w:hAnsi="微软雅黑" w:eastAsia="微软雅黑"/>
                <w:b w:val="0"/>
                <w:sz w:val="20"/>
              </w:rPr>
              <w:t>3分（中等偏难）</w:t>
            </w:r>
          </w:p>
        </w:tc>
        <w:tc>
          <w:tcPr>
            <w:tcW w:type="dxa" w:w="2078"/>
            <w:shd w:fill="F2F7FB"/>
          </w:tcPr>
          <w:p>
            <w:pPr>
              <w:spacing w:before="40" w:after="40"/>
              <w:jc w:val="center"/>
            </w:pPr>
            <w:r>
              <w:rPr>
                <w:rFonts w:ascii="微软雅黑" w:hAnsi="微软雅黑" w:eastAsia="微软雅黑"/>
                <w:b w:val="0"/>
                <w:sz w:val="20"/>
              </w:rPr>
              <w:t>5分（非常困难）</w:t>
            </w:r>
          </w:p>
        </w:tc>
        <w:tc>
          <w:tcPr>
            <w:tcW w:type="dxa" w:w="2078"/>
            <w:shd w:fill="F2F7FB"/>
          </w:tcPr>
          <w:p>
            <w:pPr>
              <w:spacing w:before="40" w:after="40"/>
              <w:jc w:val="center"/>
            </w:pPr>
            <w:r>
              <w:rPr>
                <w:rFonts w:ascii="微软雅黑" w:hAnsi="微软雅黑" w:eastAsia="微软雅黑"/>
                <w:b w:val="0"/>
                <w:sz w:val="20"/>
              </w:rPr>
              <w:t>4分（困难）</w:t>
            </w:r>
          </w:p>
        </w:tc>
      </w:tr>
      <w:tr>
        <w:tc>
          <w:tcPr>
            <w:tcW w:type="dxa" w:w="2078"/>
          </w:tcPr>
          <w:p>
            <w:pPr>
              <w:spacing w:before="40" w:after="40"/>
              <w:jc w:val="center"/>
            </w:pPr>
            <w:r>
              <w:rPr>
                <w:rFonts w:ascii="微软雅黑" w:hAnsi="微软雅黑" w:eastAsia="微软雅黑"/>
                <w:b w:val="0"/>
                <w:sz w:val="20"/>
              </w:rPr>
              <w:t>结论有效性评估</w:t>
            </w:r>
          </w:p>
        </w:tc>
        <w:tc>
          <w:tcPr>
            <w:tcW w:type="dxa" w:w="2078"/>
          </w:tcPr>
          <w:p>
            <w:pPr>
              <w:spacing w:before="40" w:after="40"/>
              <w:jc w:val="center"/>
            </w:pPr>
            <w:r>
              <w:rPr>
                <w:rFonts w:ascii="微软雅黑" w:hAnsi="微软雅黑" w:eastAsia="微软雅黑"/>
                <w:b w:val="0"/>
                <w:sz w:val="20"/>
              </w:rPr>
              <w:t>有效，可参考论文7</w:t>
            </w:r>
          </w:p>
        </w:tc>
        <w:tc>
          <w:tcPr>
            <w:tcW w:type="dxa" w:w="2078"/>
          </w:tcPr>
          <w:p>
            <w:pPr>
              <w:spacing w:before="40" w:after="40"/>
              <w:jc w:val="center"/>
            </w:pPr>
            <w:r>
              <w:rPr>
                <w:rFonts w:ascii="微软雅黑" w:hAnsi="微软雅黑" w:eastAsia="微软雅黑"/>
                <w:b w:val="0"/>
                <w:sz w:val="20"/>
              </w:rPr>
              <w:t>有效性存疑，数据支撑不足</w:t>
            </w:r>
          </w:p>
        </w:tc>
        <w:tc>
          <w:tcPr>
            <w:tcW w:type="dxa" w:w="2078"/>
          </w:tcPr>
          <w:p>
            <w:pPr>
              <w:spacing w:before="40" w:after="40"/>
              <w:jc w:val="center"/>
            </w:pPr>
            <w:r>
              <w:rPr>
                <w:rFonts w:ascii="微软雅黑" w:hAnsi="微软雅黑" w:eastAsia="微软雅黑"/>
                <w:b w:val="0"/>
                <w:sz w:val="20"/>
              </w:rPr>
              <w:t>特色有效但需明确行业边界</w:t>
            </w:r>
          </w:p>
        </w:tc>
      </w:tr>
    </w:tbl>
    <w:p>
      <w:pPr>
        <w:spacing w:before="60" w:after="60"/>
      </w:pPr>
    </w:p>
    <w:p>
      <w:pPr>
        <w:spacing w:line="360" w:lineRule="auto" w:before="60" w:after="60"/>
        <w:ind w:firstLine="480"/>
        <w:jc w:val="both"/>
      </w:pPr>
      <w:r>
        <w:rPr>
          <w:rFonts w:ascii="宋体" w:hAnsi="宋体" w:eastAsia="宋体"/>
          <w:b w:val="0"/>
          <w:i w:val="0"/>
          <w:sz w:val="24"/>
        </w:rPr>
        <w:t>综合三张纵向对比表，题目一在地级市层面的数据获取难度最低（2分）且结论有效性最高；题目二的地级市层面数据获取难度同样较低（2分）；题目三在三个数据层级的数据获取难度均较高（3—5分），研究可行性相对较低。这一分析结果进一步支持了将题目一作为首选推荐题目的判断。</w:t>
      </w:r>
    </w:p>
    <w:p>
      <w:r>
        <w:br w:type="page"/>
      </w:r>
    </w:p>
    <w:p>
      <w:pPr>
        <w:spacing w:before="360" w:after="240"/>
      </w:pPr>
      <w:r>
        <w:rPr>
          <w:rFonts w:ascii="黑体" w:hAnsi="黑体" w:eastAsia="黑体"/>
          <w:b/>
          <w:sz w:val="32"/>
        </w:rPr>
        <w:t>第六章  导师沟通话术</w:t>
      </w:r>
    </w:p>
    <w:p>
      <w:pPr>
        <w:spacing w:line="360" w:lineRule="auto" w:before="60" w:after="60"/>
        <w:ind w:firstLine="480"/>
        <w:jc w:val="both"/>
      </w:pPr>
      <w:r>
        <w:rPr>
          <w:rFonts w:ascii="宋体" w:hAnsi="宋体" w:eastAsia="宋体"/>
          <w:b w:val="0"/>
          <w:i w:val="0"/>
          <w:sz w:val="24"/>
        </w:rPr>
        <w:t>以下为模拟与导师刘亚文老师沟通的场景话术，涵盖从寒暄到后续工作计划的全流程。建议在实际沟通前根据最新进展进行调整。</w:t>
      </w:r>
    </w:p>
    <w:p>
      <w:pPr>
        <w:spacing w:before="240" w:after="120"/>
      </w:pPr>
      <w:r>
        <w:rPr>
          <w:rFonts w:ascii="黑体" w:hAnsi="黑体" w:eastAsia="黑体"/>
          <w:b/>
          <w:sz w:val="28"/>
        </w:rPr>
        <w:t>第一轮：寒暄与背景介绍</w:t>
      </w:r>
    </w:p>
    <w:p>
      <w:pPr>
        <w:spacing w:line="360" w:lineRule="auto" w:before="60" w:after="60"/>
        <w:jc w:val="both"/>
      </w:pPr>
      <w:r>
        <w:rPr>
          <w:rFonts w:ascii="宋体" w:hAnsi="宋体" w:eastAsia="宋体"/>
          <w:b w:val="0"/>
          <w:i/>
          <w:sz w:val="24"/>
        </w:rPr>
        <w:t>学生：刘老师好，感谢您在百忙之中抽出时间指导我的论文选题。上次沟通后，我系统阅读了相关文献，特别是围绕新质生产力、人工智能发展和四链融合三个方向的测度研究，目前形成了三个备选题目，想向您汇报一下我的思考和分析，请您帮忙把关。</w:t>
      </w:r>
    </w:p>
    <w:p>
      <w:pPr>
        <w:spacing w:before="240" w:after="120"/>
      </w:pPr>
      <w:r>
        <w:rPr>
          <w:rFonts w:ascii="黑体" w:hAnsi="黑体" w:eastAsia="黑体"/>
          <w:b/>
          <w:sz w:val="28"/>
        </w:rPr>
        <w:t>第二轮：说明选题缘由</w:t>
      </w:r>
    </w:p>
    <w:p>
      <w:pPr>
        <w:spacing w:line="360" w:lineRule="auto" w:before="60" w:after="60"/>
        <w:jc w:val="both"/>
      </w:pPr>
      <w:r>
        <w:rPr>
          <w:rFonts w:ascii="宋体" w:hAnsi="宋体" w:eastAsia="宋体"/>
          <w:b w:val="0"/>
          <w:i/>
          <w:sz w:val="24"/>
        </w:rPr>
        <w:t>学生：我更换题目的主要原因有三个。第一，我之前的选题方向偏重政策评估（DID/SCM方法），但考虑到我的在职背景——在工信部电子五所从事数据安全合规审计工作——与“统计监测方法”这一学术方向的结合更为自然，所以想把研究方向聚焦在“发展水平测度与时空演变分析”上。第二，我的统计学院硕士论文需要在统计监测方法方面有所贡献，测度类研究能够充分发挥我在数据处理和指标体系构建方面的优势。第三，测度类研究的数据基础更扎实，统计年鉴和公开数据库的数据可及性高，有利于研究的有序推进。</w:t>
      </w:r>
    </w:p>
    <w:p>
      <w:pPr>
        <w:spacing w:before="240" w:after="120"/>
      </w:pPr>
      <w:r>
        <w:rPr>
          <w:rFonts w:ascii="黑体" w:hAnsi="黑体" w:eastAsia="黑体"/>
          <w:b/>
          <w:sz w:val="28"/>
        </w:rPr>
        <w:t>第三轮：详细阐述题目一的推荐理由</w:t>
      </w:r>
    </w:p>
    <w:p>
      <w:pPr>
        <w:spacing w:line="360" w:lineRule="auto" w:before="60" w:after="60"/>
        <w:jc w:val="both"/>
      </w:pPr>
      <w:r>
        <w:rPr>
          <w:rFonts w:ascii="宋体" w:hAnsi="宋体" w:eastAsia="宋体"/>
          <w:b w:val="0"/>
          <w:i/>
          <w:sz w:val="24"/>
        </w:rPr>
        <w:t>学生：经过对三个题目的系统比较，我最倾向于选择“新质生产力发展水平测度、区域差异及影响因素”这个题目。选择它的理由我想从三个角度来说明，正好对应您上次提到的三个关键问题。</w:t>
      </w:r>
    </w:p>
    <w:p>
      <w:pPr>
        <w:spacing w:line="360" w:lineRule="auto" w:before="60" w:after="60"/>
        <w:jc w:val="both"/>
      </w:pPr>
      <w:r>
        <w:rPr>
          <w:rFonts w:ascii="宋体" w:hAnsi="宋体" w:eastAsia="宋体"/>
          <w:b w:val="0"/>
          <w:i/>
          <w:sz w:val="24"/>
        </w:rPr>
        <w:t>第一个问题——数据能不能拿到。这个题目的数据基础非常扎实。我计划以地级市层面（286个城市）为研究对象，数据来源主要是《中国城市统计年鉴》和CSMAR数据库，核心指标包括R&amp;D经费支出、专利授权量、高技术产业增加值、单位GDP能耗、数字经济增加值等10—15个指标，数据跨度2011—2022年。这些数据都是公开可获取的，我已经初步验证了数据的完整性，缺失率约在10%—15%，可以通过多重插补等方法处理。</w:t>
      </w:r>
    </w:p>
    <w:p>
      <w:pPr>
        <w:spacing w:line="360" w:lineRule="auto" w:before="60" w:after="60"/>
        <w:jc w:val="both"/>
      </w:pPr>
      <w:r>
        <w:rPr>
          <w:rFonts w:ascii="宋体" w:hAnsi="宋体" w:eastAsia="宋体"/>
          <w:b w:val="0"/>
          <w:i/>
          <w:sz w:val="24"/>
        </w:rPr>
        <w:t>第二个问题——方法有没有创新。在方法上，我的思路是“成熟框架+创新拓展”。基础框架采用熵值法进行指标赋权和综合测度，Dagum基尼系数分解分析区域差异，空间杜宾模型分析影响因素。在这个成熟框架的基础上，我计划做两个方法创新：一是引入机器学习方法（如XGBoost）进行指标重要性排序和特征筛选，提升指标体系构建的科学性；二是结合公共数据开放政策作为外生冲击，构建DID模型检验政策效应，实现“测度+因果”的双层分析。这比单纯的测度研究多了一层因果推断的分析深度。</w:t>
      </w:r>
    </w:p>
    <w:p>
      <w:pPr>
        <w:spacing w:line="360" w:lineRule="auto" w:before="60" w:after="60"/>
        <w:jc w:val="both"/>
      </w:pPr>
      <w:r>
        <w:rPr>
          <w:rFonts w:ascii="宋体" w:hAnsi="宋体" w:eastAsia="宋体"/>
          <w:b w:val="0"/>
          <w:i/>
          <w:sz w:val="24"/>
        </w:rPr>
        <w:t>第三个问题——工作量够不够。以286个城市、12年面板数据为基础，论文计划包括六个部分：（1）新质生产力指标体系构建与测度；（2）全国层面的时空演变特征分析；（3）区域差异的Dagum基尼系数分解；（4）空间计量模型影响因素分析；（5）DID政策效应检验；（6）稳健性检验与异质性分析。六个部分的工作量完全可以支撑一篇合格的硕士论文。</w:t>
      </w:r>
    </w:p>
    <w:p>
      <w:pPr>
        <w:spacing w:before="240" w:after="120"/>
      </w:pPr>
      <w:r>
        <w:rPr>
          <w:rFonts w:ascii="黑体" w:hAnsi="黑体" w:eastAsia="黑体"/>
          <w:b/>
          <w:sz w:val="28"/>
        </w:rPr>
        <w:t>第四轮：方法创新性的进一步说明</w:t>
      </w:r>
    </w:p>
    <w:p>
      <w:pPr>
        <w:spacing w:line="360" w:lineRule="auto" w:before="60" w:after="60"/>
        <w:jc w:val="both"/>
      </w:pPr>
      <w:r>
        <w:rPr>
          <w:rFonts w:ascii="宋体" w:hAnsi="宋体" w:eastAsia="宋体"/>
          <w:b w:val="0"/>
          <w:i/>
          <w:sz w:val="24"/>
        </w:rPr>
        <w:t>学生：在方法创新方面，我还想补充一点。我注意到现有文献在新质生产力测度中大多采用传统的熵值法或主成分分析法，较少引入机器学习方法。我计划在指标筛选和权重确定环节引入XGBoost算法，利用其特征重要性排序功能优化指标体系的构建，这既是对传统统计方法的补充，也体现了“统计监测方法”这一研究方向的方法论特色。同时，这种“统计方法+机器学习”的混合方法设计与我在统计学院的学习背景非常契合。</w:t>
      </w:r>
    </w:p>
    <w:p>
      <w:pPr>
        <w:spacing w:before="240" w:after="120"/>
      </w:pPr>
      <w:r>
        <w:rPr>
          <w:rFonts w:ascii="黑体" w:hAnsi="黑体" w:eastAsia="黑体"/>
          <w:b/>
          <w:sz w:val="28"/>
        </w:rPr>
        <w:t>第五轮：后续工作计划</w:t>
      </w:r>
    </w:p>
    <w:p>
      <w:pPr>
        <w:spacing w:line="360" w:lineRule="auto" w:before="60" w:after="60"/>
        <w:jc w:val="both"/>
      </w:pPr>
      <w:r>
        <w:rPr>
          <w:rFonts w:ascii="宋体" w:hAnsi="宋体" w:eastAsia="宋体"/>
          <w:b w:val="0"/>
          <w:i/>
          <w:sz w:val="24"/>
        </w:rPr>
        <w:t>学生：如果这个题目方向可行，我的后续工作计划是：第一阶段（1—2个月）完成文献综述的深化和指标体系的最终确定；第二阶段（1个月）完成数据收集和清洗；第三阶段（2个月）完成实证分析，包括测度、区域差异分解和影响因素分析；第四阶段（1个月）撰写论文初稿；第五阶段（1个月）修改完善并定稿。整体时间安排约5—6个月。</w:t>
      </w:r>
    </w:p>
    <w:p>
      <w:pPr>
        <w:spacing w:line="360" w:lineRule="auto" w:before="60" w:after="60"/>
        <w:jc w:val="both"/>
      </w:pPr>
      <w:r>
        <w:rPr>
          <w:rFonts w:ascii="宋体" w:hAnsi="宋体" w:eastAsia="宋体"/>
          <w:b w:val="0"/>
          <w:i/>
          <w:sz w:val="24"/>
        </w:rPr>
        <w:t>学生：以上是我的初步思考和计划，可能还有很多不成熟的地方，恳请刘老师批评指正，特别是在指标体系构建和研究方法选择方面，希望得到您的指导。</w:t>
      </w:r>
    </w:p>
    <w:p>
      <w:pPr>
        <w:spacing w:before="60" w:after="60"/>
      </w:pPr>
    </w:p>
    <w:p>
      <w:pPr>
        <w:spacing w:line="360" w:lineRule="auto" w:before="60" w:after="60"/>
        <w:ind w:firstLine="480"/>
        <w:jc w:val="both"/>
      </w:pPr>
      <w:r>
        <w:rPr>
          <w:rFonts w:ascii="宋体" w:hAnsi="宋体" w:eastAsia="宋体"/>
          <w:b w:val="0"/>
          <w:i w:val="0"/>
          <w:sz w:val="24"/>
        </w:rPr>
        <w:t>以上话术涵盖了导师最可能关心的三个核心问题——数据可及性、方法创新性和工作量评估，并按照由浅入深、由概括到具体的逻辑展开。在实际沟通中，建议根据导师的反馈灵活调整，重点突出以下三点：第一，地级市层面286个城市的数据基础扎实；第二，机器学习与传统统计方法的结合是方法创新的亮点；第三，整个研究框架结构完整、逻辑清晰。</w:t>
      </w:r>
    </w:p>
    <w:p>
      <w:r>
        <w:br w:type="page"/>
      </w:r>
    </w:p>
    <w:p>
      <w:pPr>
        <w:spacing w:before="360" w:after="240"/>
      </w:pPr>
      <w:r>
        <w:rPr>
          <w:rFonts w:ascii="黑体" w:hAnsi="黑体" w:eastAsia="黑体"/>
          <w:b/>
          <w:sz w:val="32"/>
        </w:rPr>
        <w:t>第七章  总结与行动建议</w:t>
      </w:r>
    </w:p>
    <w:p>
      <w:pPr>
        <w:spacing w:before="240" w:after="120"/>
      </w:pPr>
      <w:r>
        <w:rPr>
          <w:rFonts w:ascii="黑体" w:hAnsi="黑体" w:eastAsia="黑体"/>
          <w:b/>
          <w:sz w:val="28"/>
        </w:rPr>
        <w:t>7.1  核心结论</w:t>
      </w:r>
    </w:p>
    <w:p>
      <w:pPr>
        <w:spacing w:line="360" w:lineRule="auto" w:before="60" w:after="60"/>
        <w:ind w:firstLine="480"/>
        <w:jc w:val="both"/>
      </w:pPr>
      <w:r>
        <w:rPr>
          <w:rFonts w:ascii="宋体" w:hAnsi="宋体" w:eastAsia="宋体"/>
          <w:b w:val="0"/>
          <w:i w:val="0"/>
          <w:sz w:val="24"/>
        </w:rPr>
        <w:t>本报告通过对6篇核心文献的深入解读，系统比较了三个备选开题题目在研究对象、研究方法、数据可及性、创新空间和研究可行性方面的优劣，得出以下核心结论：</w:t>
      </w:r>
    </w:p>
    <w:p>
      <w:pPr>
        <w:spacing w:line="360" w:lineRule="auto" w:before="60" w:after="60"/>
        <w:ind w:firstLine="480"/>
        <w:jc w:val="both"/>
      </w:pPr>
      <w:r>
        <w:rPr>
          <w:rFonts w:ascii="宋体" w:hAnsi="宋体" w:eastAsia="宋体"/>
          <w:b w:val="0"/>
          <w:i w:val="0"/>
          <w:sz w:val="24"/>
        </w:rPr>
        <w:t>第一，题目一（新质生产力发展水平测度、区域差异及影响因素）是综合最优选择，在数据可及性、方法创新性、研究可行性和与用户专业背景的契合度方面均表现优异，推荐作为首选开题题目。</w:t>
      </w:r>
    </w:p>
    <w:p>
      <w:pPr>
        <w:spacing w:line="360" w:lineRule="auto" w:before="60" w:after="60"/>
        <w:ind w:firstLine="480"/>
        <w:jc w:val="both"/>
      </w:pPr>
      <w:r>
        <w:rPr>
          <w:rFonts w:ascii="宋体" w:hAnsi="宋体" w:eastAsia="宋体"/>
          <w:b w:val="0"/>
          <w:i w:val="0"/>
          <w:sz w:val="24"/>
        </w:rPr>
        <w:t>第二，地级市层面是题目一和题目二的最佳数据层级，兼顾样本量充足性（286个城市）和指标颗粒度的适中性，空间分析可行性优于省级层面，数据获取难度低于行业层面。</w:t>
      </w:r>
    </w:p>
    <w:p>
      <w:pPr>
        <w:spacing w:line="360" w:lineRule="auto" w:before="60" w:after="60"/>
        <w:ind w:firstLine="480"/>
        <w:jc w:val="both"/>
      </w:pPr>
      <w:r>
        <w:rPr>
          <w:rFonts w:ascii="宋体" w:hAnsi="宋体" w:eastAsia="宋体"/>
          <w:b w:val="0"/>
          <w:i w:val="0"/>
          <w:sz w:val="24"/>
        </w:rPr>
        <w:t>第三，方法创新方面，建议在传统熵值法+Dagum基尼系数+空间计量的成熟框架基础上，引入机器学习方法（XGBoost）进行指标筛选和特征重要性排序，实现统计监测方法的创新。</w:t>
      </w:r>
    </w:p>
    <w:p>
      <w:pPr>
        <w:spacing w:before="240" w:after="120"/>
      </w:pPr>
      <w:r>
        <w:rPr>
          <w:rFonts w:ascii="黑体" w:hAnsi="黑体" w:eastAsia="黑体"/>
          <w:b/>
          <w:sz w:val="28"/>
        </w:rPr>
        <w:t>7.2  写作注意事项</w:t>
      </w:r>
    </w:p>
    <w:p>
      <w:pPr>
        <w:spacing w:line="360" w:lineRule="auto" w:before="60" w:after="60"/>
        <w:ind w:firstLine="480"/>
        <w:jc w:val="both"/>
      </w:pPr>
      <w:r>
        <w:rPr>
          <w:rFonts w:ascii="宋体" w:hAnsi="宋体" w:eastAsia="宋体"/>
          <w:b w:val="0"/>
          <w:i w:val="0"/>
          <w:sz w:val="24"/>
        </w:rPr>
        <w:t>（1）指标体系构建方面：应充分论证每个指标的选取依据，确保指标体系的科学性、全面性和可操作性。建议参考论文8的三维度框架（科技、绿色、数字生产力），并结合最新政策文件（如2024年政府工作报告中关于新质生产力的论述）进行优化调整。</w:t>
      </w:r>
    </w:p>
    <w:p>
      <w:pPr>
        <w:spacing w:line="360" w:lineRule="auto" w:before="60" w:after="60"/>
        <w:ind w:firstLine="480"/>
        <w:jc w:val="both"/>
      </w:pPr>
      <w:r>
        <w:rPr>
          <w:rFonts w:ascii="宋体" w:hAnsi="宋体" w:eastAsia="宋体"/>
          <w:b w:val="0"/>
          <w:i w:val="0"/>
          <w:sz w:val="24"/>
        </w:rPr>
        <w:t>（2）研究方法方面：熵值法是客观赋权法，应说明选择熵值法而非主观赋权法（如AHP）的理由；Dagum基尼系数分解应完整报告总体基尼系数、区域内差异、区域间差异和超变密度四个部分；空间计量模型应进行LM检验、Hausman检验以确定最优模型形式。</w:t>
      </w:r>
    </w:p>
    <w:p>
      <w:pPr>
        <w:spacing w:line="360" w:lineRule="auto" w:before="60" w:after="60"/>
        <w:ind w:firstLine="480"/>
        <w:jc w:val="both"/>
      </w:pPr>
      <w:r>
        <w:rPr>
          <w:rFonts w:ascii="宋体" w:hAnsi="宋体" w:eastAsia="宋体"/>
          <w:b w:val="0"/>
          <w:i w:val="0"/>
          <w:sz w:val="24"/>
        </w:rPr>
        <w:t>（3）稳健性检验方面：除常规的替换变量、替换方法外，建议增加排除异常值、缩尾处理、分时段回归等多种稳健性检验策略，以增强结论的可信度。</w:t>
      </w:r>
    </w:p>
    <w:p>
      <w:pPr>
        <w:spacing w:line="360" w:lineRule="auto" w:before="60" w:after="60"/>
        <w:ind w:firstLine="480"/>
        <w:jc w:val="both"/>
      </w:pPr>
      <w:r>
        <w:rPr>
          <w:rFonts w:ascii="宋体" w:hAnsi="宋体" w:eastAsia="宋体"/>
          <w:b w:val="0"/>
          <w:i w:val="0"/>
          <w:sz w:val="24"/>
        </w:rPr>
        <w:t>（4）文献综述方面：应系统梳理新质生产力的概念演进、测度方法和影响因素三支文献，明确本研究的边际贡献和学术定位。</w:t>
      </w:r>
    </w:p>
    <w:p>
      <w:pPr>
        <w:spacing w:before="240" w:after="120"/>
      </w:pPr>
      <w:r>
        <w:rPr>
          <w:rFonts w:ascii="黑体" w:hAnsi="黑体" w:eastAsia="黑体"/>
          <w:b/>
          <w:sz w:val="28"/>
        </w:rPr>
        <w:t>7.3  下一步行动计划</w:t>
      </w:r>
    </w:p>
    <w:p>
      <w:pPr>
        <w:spacing w:line="360" w:lineRule="auto" w:before="60" w:after="60"/>
        <w:ind w:firstLine="480"/>
        <w:jc w:val="both"/>
      </w:pPr>
      <w:r>
        <w:rPr>
          <w:rFonts w:ascii="宋体" w:hAnsi="宋体" w:eastAsia="宋体"/>
          <w:b w:val="0"/>
          <w:i w:val="0"/>
          <w:sz w:val="24"/>
        </w:rPr>
        <w:t>步骤一（本周内）：与导师刘亚文老师进行一次正式沟通，汇报选题分析结果，确认题目方向和基本框架。</w:t>
      </w:r>
    </w:p>
    <w:p>
      <w:pPr>
        <w:spacing w:line="360" w:lineRule="auto" w:before="60" w:after="60"/>
        <w:ind w:firstLine="480"/>
        <w:jc w:val="both"/>
      </w:pPr>
      <w:r>
        <w:rPr>
          <w:rFonts w:ascii="宋体" w:hAnsi="宋体" w:eastAsia="宋体"/>
          <w:b w:val="0"/>
          <w:i w:val="0"/>
          <w:sz w:val="24"/>
        </w:rPr>
        <w:t>步骤二（确认题目后1周内）：完成文献综述的深化阅读，重点关注新质生产力测度领域的最新研究进展（特别是2024—2026年的新发表文献）。</w:t>
      </w:r>
    </w:p>
    <w:p>
      <w:pPr>
        <w:spacing w:line="360" w:lineRule="auto" w:before="60" w:after="60"/>
        <w:ind w:firstLine="480"/>
        <w:jc w:val="both"/>
      </w:pPr>
      <w:r>
        <w:rPr>
          <w:rFonts w:ascii="宋体" w:hAnsi="宋体" w:eastAsia="宋体"/>
          <w:b w:val="0"/>
          <w:i w:val="0"/>
          <w:sz w:val="24"/>
        </w:rPr>
        <w:t>步骤三（2周内）：确定指标体系初稿，初步收集和整理地级市层面的数据，评估数据完整性和可用性。</w:t>
      </w:r>
    </w:p>
    <w:p>
      <w:pPr>
        <w:spacing w:line="360" w:lineRule="auto" w:before="60" w:after="60"/>
        <w:ind w:firstLine="480"/>
        <w:jc w:val="both"/>
      </w:pPr>
      <w:r>
        <w:rPr>
          <w:rFonts w:ascii="宋体" w:hAnsi="宋体" w:eastAsia="宋体"/>
          <w:b w:val="0"/>
          <w:i w:val="0"/>
          <w:sz w:val="24"/>
        </w:rPr>
        <w:t>步骤四（1个月内）：完成开题报告的撰写，包括研究背景、文献综述、研究设计、数据说明和预期贡献等核心内容。</w:t>
      </w:r>
    </w:p>
    <w:p>
      <w:pPr>
        <w:spacing w:line="360" w:lineRule="auto" w:before="60" w:after="60"/>
        <w:ind w:firstLine="480"/>
        <w:jc w:val="both"/>
      </w:pPr>
      <w:r>
        <w:rPr>
          <w:rFonts w:ascii="宋体" w:hAnsi="宋体" w:eastAsia="宋体"/>
          <w:b w:val="0"/>
          <w:i w:val="0"/>
          <w:sz w:val="24"/>
        </w:rPr>
        <w:t>步骤五（开题通过后）：按照研究计划分阶段推进数据收集、实证分析和论文撰写工作，确保在2026年底前完成论文初稿。</w:t>
      </w:r>
    </w:p>
    <w:p>
      <w:pPr>
        <w:spacing w:before="240" w:after="120"/>
      </w:pPr>
      <w:r>
        <w:rPr>
          <w:rFonts w:ascii="黑体" w:hAnsi="黑体" w:eastAsia="黑体"/>
          <w:b/>
          <w:sz w:val="28"/>
        </w:rPr>
        <w:t>7.4  风险提示与应对策略</w:t>
      </w:r>
    </w:p>
    <w:p>
      <w:pPr>
        <w:spacing w:line="360" w:lineRule="auto" w:before="60" w:after="60"/>
        <w:ind w:firstLine="480"/>
        <w:jc w:val="both"/>
      </w:pPr>
      <w:r>
        <w:rPr>
          <w:rFonts w:ascii="宋体" w:hAnsi="宋体" w:eastAsia="宋体"/>
          <w:b w:val="0"/>
          <w:i w:val="0"/>
          <w:sz w:val="24"/>
        </w:rPr>
        <w:t>风险一：部分地级市数据缺失严重，影响样本完整性。应对策略：设定最低数据完整性阈值（如核心指标缺失不超过3个），对不满足条件的城市予以剔除或采用多重插补。</w:t>
      </w:r>
    </w:p>
    <w:p>
      <w:pPr>
        <w:spacing w:line="360" w:lineRule="auto" w:before="60" w:after="60"/>
        <w:ind w:firstLine="480"/>
        <w:jc w:val="both"/>
      </w:pPr>
      <w:r>
        <w:rPr>
          <w:rFonts w:ascii="宋体" w:hAnsi="宋体" w:eastAsia="宋体"/>
          <w:b w:val="0"/>
          <w:i w:val="0"/>
          <w:sz w:val="24"/>
        </w:rPr>
        <w:t>风险二：熵值法测度结果对指标选择敏感。应对策略：进行指标敏感性分析，比较不同指标组合下的测度结果稳健性。</w:t>
      </w:r>
    </w:p>
    <w:p>
      <w:pPr>
        <w:spacing w:line="360" w:lineRule="auto" w:before="60" w:after="60"/>
        <w:ind w:firstLine="480"/>
        <w:jc w:val="both"/>
      </w:pPr>
      <w:r>
        <w:rPr>
          <w:rFonts w:ascii="宋体" w:hAnsi="宋体" w:eastAsia="宋体"/>
          <w:b w:val="0"/>
          <w:i w:val="0"/>
          <w:sz w:val="24"/>
        </w:rPr>
        <w:t>风险三：空间权重矩阵的选择可能影响空间计量结果。应对策略：分别采用地理距离矩阵、经济距离矩阵和邻接矩阵进行稳健性检验。</w:t>
      </w:r>
    </w:p>
    <w:p>
      <w:pPr>
        <w:spacing w:before="60" w:after="60"/>
      </w:pPr>
    </w:p>
    <w:p>
      <w:pPr>
        <w:spacing w:line="360" w:lineRule="auto" w:before="60" w:after="60"/>
        <w:ind w:firstLine="480"/>
        <w:jc w:val="both"/>
      </w:pPr>
      <w:r>
        <w:rPr>
          <w:rFonts w:ascii="宋体" w:hAnsi="宋体" w:eastAsia="宋体"/>
          <w:b w:val="0"/>
          <w:i w:val="0"/>
          <w:sz w:val="24"/>
        </w:rPr>
        <w:t>本报告的分析基于6篇核心学术论文的文献梳理和三个备选题目的系统比较，所有分析结论仅供参考。最终选题方向的确定应结合导师的指导意见和个人的研究兴趣与能力，做出最适合的选择。</w:t>
      </w:r>
    </w:p>
    <w:p>
      <w:pPr>
        <w:spacing w:before="60" w:after="60"/>
      </w:pPr>
    </w:p>
    <w:p>
      <w:pPr>
        <w:spacing w:before="60" w:after="60"/>
      </w:pPr>
    </w:p>
    <w:p>
      <w:pPr>
        <w:jc w:val="center"/>
      </w:pPr>
      <w:r>
        <w:rPr>
          <w:rFonts w:ascii="宋体" w:hAnsi="宋体" w:eastAsia="宋体"/>
          <w:b/>
          <w:sz w:val="28"/>
        </w:rPr>
        <w:t>— 报告完 —</w:t>
      </w:r>
    </w:p>
    <w:sectPr w:rsidR="00FC693F" w:rsidRPr="0006063C" w:rsidSect="00034616">
      <w:headerReference w:type="default" r:id="rId9"/>
      <w:footerReference w:type="default" r:id="rId10"/>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8"/>
      </w:rPr>
      <w:t xml:space="preserve">— </w:t>
    </w:r>
    <w:fldChar w:fldCharType="begin"/>
    <w:instrText xml:space="preserve"> PAGE </w:instrText>
    <w:fldChar w:fldCharType="end"/>
    <w:r>
      <w:rPr>
        <w:color w:val="808080"/>
        <w:sz w:val="18"/>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宋体" w:hAnsi="宋体" w:eastAsia="宋体"/>
        <w:color w:val="808080"/>
        <w:sz w:val="18"/>
      </w:rPr>
      <w:t>硕士论文开题报告题目综合分析</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