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32438" w14:textId="5B37D646" w:rsidR="00DC440B" w:rsidRPr="002D47F3" w:rsidRDefault="00DC440B" w:rsidP="00776B39">
      <w:pPr>
        <w:spacing w:line="240" w:lineRule="auto"/>
      </w:pPr>
      <w:r w:rsidRPr="002D47F3">
        <w:rPr>
          <w:b/>
          <w:bCs/>
        </w:rPr>
        <w:t>Name:</w:t>
      </w:r>
      <w:r w:rsidRPr="002D47F3">
        <w:t xml:space="preserve"> Obinna Williams</w:t>
      </w:r>
    </w:p>
    <w:p w14:paraId="6D33B402" w14:textId="1B29F1F9" w:rsidR="00DC440B" w:rsidRPr="002D47F3" w:rsidRDefault="00DC440B" w:rsidP="00776B39">
      <w:pPr>
        <w:spacing w:line="240" w:lineRule="auto"/>
      </w:pPr>
      <w:r w:rsidRPr="002D47F3">
        <w:rPr>
          <w:b/>
          <w:bCs/>
        </w:rPr>
        <w:t xml:space="preserve">Student ID: </w:t>
      </w:r>
      <w:r w:rsidRPr="002D47F3">
        <w:t>VEPH/20B/DA183</w:t>
      </w:r>
    </w:p>
    <w:p w14:paraId="707B3647" w14:textId="77777777" w:rsidR="00DC440B" w:rsidRPr="002D47F3" w:rsidRDefault="00DC440B" w:rsidP="00776B39">
      <w:pPr>
        <w:spacing w:line="240" w:lineRule="auto"/>
        <w:rPr>
          <w:b/>
          <w:bCs/>
        </w:rPr>
      </w:pPr>
    </w:p>
    <w:p w14:paraId="3A47BB5C" w14:textId="77777777" w:rsidR="00503678" w:rsidRPr="00503678" w:rsidRDefault="00A1117D" w:rsidP="00503678">
      <w:pPr>
        <w:rPr>
          <w:b/>
          <w:bCs/>
        </w:rPr>
      </w:pPr>
      <w:r w:rsidRPr="002D47F3">
        <w:rPr>
          <w:b/>
          <w:bCs/>
        </w:rPr>
        <w:t xml:space="preserve">TECHNICAL REPORT FOR </w:t>
      </w:r>
      <w:r w:rsidR="00503678" w:rsidRPr="00503678">
        <w:rPr>
          <w:b/>
          <w:bCs/>
        </w:rPr>
        <w:t>YOUTHWELL INTELLIGENCE: YOUTH SMOKING AND SUBSTANCE USE TRENDS</w:t>
      </w:r>
    </w:p>
    <w:p w14:paraId="44329F6B" w14:textId="6CEB9D46" w:rsidR="002C2DFB" w:rsidRPr="002D47F3" w:rsidRDefault="002C2DFB" w:rsidP="00776B39">
      <w:pPr>
        <w:spacing w:line="240" w:lineRule="auto"/>
        <w:rPr>
          <w:b/>
          <w:bCs/>
        </w:rPr>
      </w:pPr>
    </w:p>
    <w:p w14:paraId="1A75A78C" w14:textId="0A75C3C7" w:rsidR="00A1117D" w:rsidRPr="002D47F3" w:rsidRDefault="00A1117D" w:rsidP="00776B39">
      <w:pPr>
        <w:spacing w:line="240" w:lineRule="auto"/>
        <w:rPr>
          <w:b/>
          <w:bCs/>
        </w:rPr>
      </w:pPr>
      <w:r w:rsidRPr="002D47F3">
        <w:rPr>
          <w:b/>
          <w:bCs/>
        </w:rPr>
        <w:t>Outline</w:t>
      </w:r>
    </w:p>
    <w:p w14:paraId="7B022664" w14:textId="45D38698" w:rsidR="00A1117D" w:rsidRPr="002D47F3" w:rsidRDefault="00A1117D" w:rsidP="00776B39">
      <w:pPr>
        <w:pStyle w:val="ListParagraph"/>
        <w:numPr>
          <w:ilvl w:val="0"/>
          <w:numId w:val="1"/>
        </w:numPr>
        <w:spacing w:line="240" w:lineRule="auto"/>
        <w:rPr>
          <w:b/>
          <w:bCs/>
        </w:rPr>
      </w:pPr>
      <w:r w:rsidRPr="002D47F3">
        <w:rPr>
          <w:b/>
          <w:bCs/>
        </w:rPr>
        <w:t>Introduction</w:t>
      </w:r>
    </w:p>
    <w:p w14:paraId="3AAEC42E" w14:textId="06C70598" w:rsidR="00A1117D" w:rsidRPr="002D47F3" w:rsidRDefault="00A1117D" w:rsidP="00776B39">
      <w:pPr>
        <w:pStyle w:val="ListParagraph"/>
        <w:numPr>
          <w:ilvl w:val="0"/>
          <w:numId w:val="1"/>
        </w:numPr>
        <w:spacing w:line="240" w:lineRule="auto"/>
        <w:rPr>
          <w:b/>
          <w:bCs/>
        </w:rPr>
      </w:pPr>
      <w:r w:rsidRPr="002D47F3">
        <w:rPr>
          <w:b/>
          <w:bCs/>
        </w:rPr>
        <w:t>Story of Data</w:t>
      </w:r>
    </w:p>
    <w:p w14:paraId="34A539A9" w14:textId="07692551" w:rsidR="00A1117D" w:rsidRPr="002D47F3" w:rsidRDefault="00A1117D" w:rsidP="00776B39">
      <w:pPr>
        <w:pStyle w:val="ListParagraph"/>
        <w:numPr>
          <w:ilvl w:val="0"/>
          <w:numId w:val="1"/>
        </w:numPr>
        <w:spacing w:line="240" w:lineRule="auto"/>
        <w:rPr>
          <w:b/>
          <w:bCs/>
        </w:rPr>
      </w:pPr>
      <w:r w:rsidRPr="002D47F3">
        <w:rPr>
          <w:b/>
          <w:bCs/>
        </w:rPr>
        <w:t>Data Splitting and Pre-processing</w:t>
      </w:r>
    </w:p>
    <w:p w14:paraId="31EC02AA" w14:textId="7C8CB66D" w:rsidR="00A1117D" w:rsidRPr="002D47F3" w:rsidRDefault="00A1117D" w:rsidP="00776B39">
      <w:pPr>
        <w:pStyle w:val="ListParagraph"/>
        <w:numPr>
          <w:ilvl w:val="0"/>
          <w:numId w:val="1"/>
        </w:numPr>
        <w:spacing w:line="240" w:lineRule="auto"/>
        <w:rPr>
          <w:b/>
          <w:bCs/>
        </w:rPr>
      </w:pPr>
      <w:r w:rsidRPr="002D47F3">
        <w:rPr>
          <w:b/>
          <w:bCs/>
        </w:rPr>
        <w:t>Pre-Analysis</w:t>
      </w:r>
    </w:p>
    <w:p w14:paraId="47AEC12F" w14:textId="43C48A32" w:rsidR="00A1117D" w:rsidRPr="002D47F3" w:rsidRDefault="00A1117D" w:rsidP="00776B39">
      <w:pPr>
        <w:pStyle w:val="ListParagraph"/>
        <w:numPr>
          <w:ilvl w:val="0"/>
          <w:numId w:val="1"/>
        </w:numPr>
        <w:spacing w:line="240" w:lineRule="auto"/>
        <w:rPr>
          <w:b/>
          <w:bCs/>
        </w:rPr>
      </w:pPr>
      <w:r w:rsidRPr="002D47F3">
        <w:rPr>
          <w:b/>
          <w:bCs/>
        </w:rPr>
        <w:t>In-Analysis</w:t>
      </w:r>
    </w:p>
    <w:p w14:paraId="38DC0AC1" w14:textId="216F34E0" w:rsidR="00A1117D" w:rsidRPr="002D47F3" w:rsidRDefault="00A1117D" w:rsidP="00776B39">
      <w:pPr>
        <w:pStyle w:val="ListParagraph"/>
        <w:numPr>
          <w:ilvl w:val="0"/>
          <w:numId w:val="1"/>
        </w:numPr>
        <w:spacing w:line="240" w:lineRule="auto"/>
        <w:rPr>
          <w:b/>
          <w:bCs/>
        </w:rPr>
      </w:pPr>
      <w:r w:rsidRPr="002D47F3">
        <w:rPr>
          <w:b/>
          <w:bCs/>
        </w:rPr>
        <w:t>Post-Analysis and Insights</w:t>
      </w:r>
    </w:p>
    <w:p w14:paraId="7F0D01C3" w14:textId="7C50EB63" w:rsidR="00A1117D" w:rsidRPr="002D47F3" w:rsidRDefault="00A1117D" w:rsidP="00776B39">
      <w:pPr>
        <w:pStyle w:val="ListParagraph"/>
        <w:numPr>
          <w:ilvl w:val="0"/>
          <w:numId w:val="1"/>
        </w:numPr>
        <w:spacing w:line="240" w:lineRule="auto"/>
        <w:rPr>
          <w:b/>
          <w:bCs/>
        </w:rPr>
      </w:pPr>
      <w:r w:rsidRPr="002D47F3">
        <w:rPr>
          <w:b/>
          <w:bCs/>
        </w:rPr>
        <w:t>Data Visualization &amp; Charts</w:t>
      </w:r>
    </w:p>
    <w:p w14:paraId="417A8122" w14:textId="0B2DABD9" w:rsidR="00A1117D" w:rsidRPr="002D47F3" w:rsidRDefault="00A1117D" w:rsidP="00776B39">
      <w:pPr>
        <w:pStyle w:val="ListParagraph"/>
        <w:numPr>
          <w:ilvl w:val="0"/>
          <w:numId w:val="1"/>
        </w:numPr>
        <w:spacing w:line="240" w:lineRule="auto"/>
        <w:rPr>
          <w:b/>
          <w:bCs/>
        </w:rPr>
      </w:pPr>
      <w:r w:rsidRPr="002D47F3">
        <w:rPr>
          <w:b/>
          <w:bCs/>
        </w:rPr>
        <w:t>Recommendations and Observations</w:t>
      </w:r>
    </w:p>
    <w:p w14:paraId="44A55B39" w14:textId="2A30BD6A" w:rsidR="00A1117D" w:rsidRPr="002D47F3" w:rsidRDefault="00A1117D" w:rsidP="00776B39">
      <w:pPr>
        <w:pStyle w:val="ListParagraph"/>
        <w:numPr>
          <w:ilvl w:val="0"/>
          <w:numId w:val="1"/>
        </w:numPr>
        <w:spacing w:line="240" w:lineRule="auto"/>
        <w:rPr>
          <w:b/>
          <w:bCs/>
        </w:rPr>
      </w:pPr>
      <w:r w:rsidRPr="002D47F3">
        <w:rPr>
          <w:b/>
          <w:bCs/>
        </w:rPr>
        <w:t>Conclusion</w:t>
      </w:r>
    </w:p>
    <w:p w14:paraId="174AEB59" w14:textId="395DBDD9" w:rsidR="00A1117D" w:rsidRPr="002D47F3" w:rsidRDefault="00A1117D" w:rsidP="00776B39">
      <w:pPr>
        <w:pStyle w:val="ListParagraph"/>
        <w:numPr>
          <w:ilvl w:val="0"/>
          <w:numId w:val="1"/>
        </w:numPr>
        <w:spacing w:line="240" w:lineRule="auto"/>
        <w:rPr>
          <w:b/>
          <w:bCs/>
        </w:rPr>
      </w:pPr>
      <w:r w:rsidRPr="002D47F3">
        <w:rPr>
          <w:b/>
          <w:bCs/>
        </w:rPr>
        <w:t>References &amp; Appendices</w:t>
      </w:r>
    </w:p>
    <w:p w14:paraId="7A41F16F" w14:textId="77777777" w:rsidR="00A1117D" w:rsidRPr="002D47F3" w:rsidRDefault="00A1117D" w:rsidP="00776B39">
      <w:pPr>
        <w:spacing w:line="240" w:lineRule="auto"/>
        <w:rPr>
          <w:b/>
          <w:bCs/>
        </w:rPr>
      </w:pPr>
    </w:p>
    <w:p w14:paraId="228600F9" w14:textId="0057F769" w:rsidR="00A1117D" w:rsidRPr="002D47F3" w:rsidRDefault="00A1117D" w:rsidP="00776B39">
      <w:pPr>
        <w:spacing w:line="240" w:lineRule="auto"/>
        <w:rPr>
          <w:b/>
          <w:bCs/>
        </w:rPr>
      </w:pPr>
      <w:r w:rsidRPr="002D47F3">
        <w:rPr>
          <w:b/>
          <w:bCs/>
        </w:rPr>
        <w:t>Introduction</w:t>
      </w:r>
    </w:p>
    <w:p w14:paraId="222928F9" w14:textId="58C72576" w:rsidR="009A66F1" w:rsidRPr="002D47F3" w:rsidRDefault="009A66F1" w:rsidP="00776B39">
      <w:pPr>
        <w:pStyle w:val="ListParagraph"/>
        <w:numPr>
          <w:ilvl w:val="0"/>
          <w:numId w:val="2"/>
        </w:numPr>
        <w:spacing w:line="240" w:lineRule="auto"/>
        <w:rPr>
          <w:b/>
          <w:bCs/>
        </w:rPr>
      </w:pPr>
      <w:r w:rsidRPr="002D47F3">
        <w:rPr>
          <w:b/>
          <w:bCs/>
        </w:rPr>
        <w:t>Objective of the Project</w:t>
      </w:r>
    </w:p>
    <w:p w14:paraId="5A328D63" w14:textId="31FEF6B5" w:rsidR="008C2117" w:rsidRPr="002D47F3" w:rsidRDefault="00FB47D1" w:rsidP="00776B39">
      <w:pPr>
        <w:pStyle w:val="ListParagraph"/>
        <w:spacing w:line="240" w:lineRule="auto"/>
      </w:pPr>
      <w:r w:rsidRPr="002D47F3">
        <w:t xml:space="preserve">The primary goal of this project is to </w:t>
      </w:r>
      <w:r w:rsidRPr="002D47F3">
        <w:t>analyse</w:t>
      </w:r>
      <w:r w:rsidRPr="002D47F3">
        <w:t xml:space="preserve"> </w:t>
      </w:r>
      <w:r w:rsidRPr="002D47F3">
        <w:t>behavioural</w:t>
      </w:r>
      <w:r w:rsidRPr="002D47F3">
        <w:t xml:space="preserve"> and psychological trends among youth, particularly focusing on factors such as mental health, smoking prevalence, drug experimentation, media influence, and access to support systems. Using Excel-based analysis, the aim is to generate insights that can inform youth development programs, public health initiatives, and </w:t>
      </w:r>
      <w:r w:rsidRPr="002D47F3">
        <w:t>policymaking</w:t>
      </w:r>
      <w:r w:rsidRPr="002D47F3">
        <w:t>.</w:t>
      </w:r>
    </w:p>
    <w:p w14:paraId="62634263" w14:textId="77777777" w:rsidR="00FB47D1" w:rsidRPr="002D47F3" w:rsidRDefault="00FB47D1" w:rsidP="00776B39">
      <w:pPr>
        <w:pStyle w:val="ListParagraph"/>
        <w:spacing w:line="240" w:lineRule="auto"/>
      </w:pPr>
    </w:p>
    <w:p w14:paraId="6229DCA2" w14:textId="16A63585" w:rsidR="008C2117" w:rsidRPr="002D47F3" w:rsidRDefault="008C2117" w:rsidP="00776B39">
      <w:pPr>
        <w:pStyle w:val="ListParagraph"/>
        <w:numPr>
          <w:ilvl w:val="0"/>
          <w:numId w:val="2"/>
        </w:numPr>
        <w:spacing w:line="240" w:lineRule="auto"/>
        <w:rPr>
          <w:b/>
          <w:bCs/>
        </w:rPr>
      </w:pPr>
      <w:r w:rsidRPr="002D47F3">
        <w:rPr>
          <w:b/>
          <w:bCs/>
        </w:rPr>
        <w:t>Problem Being Addressed</w:t>
      </w:r>
    </w:p>
    <w:p w14:paraId="77744F2F" w14:textId="66FC5A61" w:rsidR="00E43FD6" w:rsidRPr="00E43FD6" w:rsidRDefault="00E43FD6" w:rsidP="00776B39">
      <w:pPr>
        <w:spacing w:before="100" w:beforeAutospacing="1" w:after="100" w:afterAutospacing="1" w:line="240" w:lineRule="auto"/>
        <w:rPr>
          <w:rFonts w:eastAsia="Times New Roman" w:cs="Times New Roman"/>
          <w:kern w:val="0"/>
          <w:lang w:eastAsia="en-GB"/>
          <w14:ligatures w14:val="none"/>
        </w:rPr>
      </w:pPr>
      <w:r w:rsidRPr="00E43FD6">
        <w:rPr>
          <w:rFonts w:eastAsia="Times New Roman" w:cs="Times New Roman"/>
          <w:kern w:val="0"/>
          <w:lang w:eastAsia="en-GB"/>
          <w14:ligatures w14:val="none"/>
        </w:rPr>
        <w:t>Youth in many societies face a range of interconnected challenges including substance abuse, mental health struggles, and inadequate parental or institutional support. This project seeks to answer key questions:</w:t>
      </w:r>
    </w:p>
    <w:p w14:paraId="440EB583" w14:textId="77777777" w:rsidR="00E43FD6" w:rsidRPr="00E43FD6" w:rsidRDefault="00E43FD6" w:rsidP="00776B39">
      <w:pPr>
        <w:numPr>
          <w:ilvl w:val="0"/>
          <w:numId w:val="32"/>
        </w:numPr>
        <w:spacing w:before="100" w:beforeAutospacing="1" w:after="100" w:afterAutospacing="1" w:line="240" w:lineRule="auto"/>
        <w:rPr>
          <w:rFonts w:eastAsia="Times New Roman" w:cs="Times New Roman"/>
          <w:kern w:val="0"/>
          <w:lang w:eastAsia="en-GB"/>
          <w14:ligatures w14:val="none"/>
        </w:rPr>
      </w:pPr>
      <w:r w:rsidRPr="00E43FD6">
        <w:rPr>
          <w:rFonts w:eastAsia="Times New Roman" w:cs="Times New Roman"/>
          <w:kern w:val="0"/>
          <w:lang w:eastAsia="en-GB"/>
          <w14:ligatures w14:val="none"/>
        </w:rPr>
        <w:t>How are mental health and substance use patterns evolving over time?</w:t>
      </w:r>
    </w:p>
    <w:p w14:paraId="03562AC0" w14:textId="7787A234" w:rsidR="00E43FD6" w:rsidRPr="00E43FD6" w:rsidRDefault="00E43FD6" w:rsidP="00776B39">
      <w:pPr>
        <w:numPr>
          <w:ilvl w:val="0"/>
          <w:numId w:val="32"/>
        </w:numPr>
        <w:spacing w:before="100" w:beforeAutospacing="1" w:after="100" w:afterAutospacing="1" w:line="240" w:lineRule="auto"/>
        <w:rPr>
          <w:rFonts w:eastAsia="Times New Roman" w:cs="Times New Roman"/>
          <w:kern w:val="0"/>
          <w:lang w:eastAsia="en-GB"/>
          <w14:ligatures w14:val="none"/>
        </w:rPr>
      </w:pPr>
      <w:r w:rsidRPr="00E43FD6">
        <w:rPr>
          <w:rFonts w:eastAsia="Times New Roman" w:cs="Times New Roman"/>
          <w:kern w:val="0"/>
          <w:lang w:eastAsia="en-GB"/>
          <w14:ligatures w14:val="none"/>
        </w:rPr>
        <w:t xml:space="preserve">What demographic and social factors influence these </w:t>
      </w:r>
      <w:r w:rsidRPr="002D47F3">
        <w:rPr>
          <w:rFonts w:eastAsia="Times New Roman" w:cs="Times New Roman"/>
          <w:kern w:val="0"/>
          <w:lang w:eastAsia="en-GB"/>
          <w14:ligatures w14:val="none"/>
        </w:rPr>
        <w:t>behaviours</w:t>
      </w:r>
      <w:r w:rsidRPr="00E43FD6">
        <w:rPr>
          <w:rFonts w:eastAsia="Times New Roman" w:cs="Times New Roman"/>
          <w:kern w:val="0"/>
          <w:lang w:eastAsia="en-GB"/>
          <w14:ligatures w14:val="none"/>
        </w:rPr>
        <w:t>?</w:t>
      </w:r>
    </w:p>
    <w:p w14:paraId="1BB2B828" w14:textId="77777777" w:rsidR="00E43FD6" w:rsidRPr="00E43FD6" w:rsidRDefault="00E43FD6" w:rsidP="00776B39">
      <w:pPr>
        <w:numPr>
          <w:ilvl w:val="0"/>
          <w:numId w:val="32"/>
        </w:numPr>
        <w:spacing w:before="100" w:beforeAutospacing="1" w:after="100" w:afterAutospacing="1" w:line="240" w:lineRule="auto"/>
        <w:rPr>
          <w:rFonts w:eastAsia="Times New Roman" w:cs="Times New Roman"/>
          <w:kern w:val="0"/>
          <w:lang w:eastAsia="en-GB"/>
          <w14:ligatures w14:val="none"/>
        </w:rPr>
      </w:pPr>
      <w:r w:rsidRPr="00E43FD6">
        <w:rPr>
          <w:rFonts w:eastAsia="Times New Roman" w:cs="Times New Roman"/>
          <w:kern w:val="0"/>
          <w:lang w:eastAsia="en-GB"/>
          <w14:ligatures w14:val="none"/>
        </w:rPr>
        <w:t>Which areas present the highest risk and need for intervention?</w:t>
      </w:r>
    </w:p>
    <w:p w14:paraId="5B0EABC9" w14:textId="77777777" w:rsidR="008C2117" w:rsidRPr="002D47F3" w:rsidRDefault="008C2117" w:rsidP="00776B39">
      <w:pPr>
        <w:pStyle w:val="ListParagraph"/>
        <w:spacing w:line="240" w:lineRule="auto"/>
        <w:ind w:left="1440"/>
      </w:pPr>
    </w:p>
    <w:p w14:paraId="54F3A145" w14:textId="7A2425DC" w:rsidR="008C2117" w:rsidRPr="002D47F3" w:rsidRDefault="008C2117" w:rsidP="00776B39">
      <w:pPr>
        <w:pStyle w:val="ListParagraph"/>
        <w:numPr>
          <w:ilvl w:val="0"/>
          <w:numId w:val="2"/>
        </w:numPr>
        <w:spacing w:line="240" w:lineRule="auto"/>
        <w:rPr>
          <w:b/>
          <w:bCs/>
        </w:rPr>
      </w:pPr>
      <w:r w:rsidRPr="002D47F3">
        <w:rPr>
          <w:b/>
          <w:bCs/>
        </w:rPr>
        <w:t>Key Datasets and Methodologies</w:t>
      </w:r>
    </w:p>
    <w:p w14:paraId="1B71FD28" w14:textId="77777777" w:rsidR="00BB200C" w:rsidRPr="00BB200C" w:rsidRDefault="00BB200C" w:rsidP="00776B39">
      <w:pPr>
        <w:spacing w:line="240" w:lineRule="auto"/>
      </w:pPr>
      <w:r w:rsidRPr="00BB200C">
        <w:rPr>
          <w:b/>
          <w:bCs/>
        </w:rPr>
        <w:t>Datasets Used:</w:t>
      </w:r>
    </w:p>
    <w:p w14:paraId="7F09A74B" w14:textId="0EBF7C05" w:rsidR="00BB200C" w:rsidRPr="00BB200C" w:rsidRDefault="00BB200C" w:rsidP="00776B39">
      <w:pPr>
        <w:numPr>
          <w:ilvl w:val="0"/>
          <w:numId w:val="33"/>
        </w:numPr>
        <w:spacing w:line="240" w:lineRule="auto"/>
      </w:pPr>
      <w:r w:rsidRPr="00BB200C">
        <w:lastRenderedPageBreak/>
        <w:t xml:space="preserve">Mental Health </w:t>
      </w:r>
      <w:r w:rsidR="00776B39" w:rsidRPr="00BB200C">
        <w:t>by</w:t>
      </w:r>
      <w:r w:rsidRPr="00BB200C">
        <w:t xml:space="preserve"> Year</w:t>
      </w:r>
    </w:p>
    <w:p w14:paraId="3063D831" w14:textId="77777777" w:rsidR="00BB200C" w:rsidRPr="00BB200C" w:rsidRDefault="00BB200C" w:rsidP="00776B39">
      <w:pPr>
        <w:numPr>
          <w:ilvl w:val="0"/>
          <w:numId w:val="33"/>
        </w:numPr>
        <w:spacing w:line="240" w:lineRule="auto"/>
      </w:pPr>
      <w:r w:rsidRPr="00BB200C">
        <w:t>Smoking Prevalence by Age</w:t>
      </w:r>
    </w:p>
    <w:p w14:paraId="016991AB" w14:textId="77777777" w:rsidR="00BB200C" w:rsidRPr="00BB200C" w:rsidRDefault="00BB200C" w:rsidP="00776B39">
      <w:pPr>
        <w:numPr>
          <w:ilvl w:val="0"/>
          <w:numId w:val="33"/>
        </w:numPr>
        <w:spacing w:line="240" w:lineRule="auto"/>
      </w:pPr>
      <w:r w:rsidRPr="00BB200C">
        <w:t>Drug Experimentation (by status and gender)</w:t>
      </w:r>
    </w:p>
    <w:p w14:paraId="4A05F3A2" w14:textId="77777777" w:rsidR="00BB200C" w:rsidRPr="00BB200C" w:rsidRDefault="00BB200C" w:rsidP="00776B39">
      <w:pPr>
        <w:numPr>
          <w:ilvl w:val="0"/>
          <w:numId w:val="33"/>
        </w:numPr>
        <w:spacing w:line="240" w:lineRule="auto"/>
      </w:pPr>
      <w:r w:rsidRPr="00BB200C">
        <w:t>Media Influence</w:t>
      </w:r>
    </w:p>
    <w:p w14:paraId="616075A0" w14:textId="5C3570A9" w:rsidR="00BB200C" w:rsidRPr="00BB200C" w:rsidRDefault="00BB200C" w:rsidP="00776B39">
      <w:pPr>
        <w:numPr>
          <w:ilvl w:val="0"/>
          <w:numId w:val="33"/>
        </w:numPr>
        <w:spacing w:line="240" w:lineRule="auto"/>
      </w:pPr>
      <w:r w:rsidRPr="00BB200C">
        <w:t xml:space="preserve">Access to </w:t>
      </w:r>
      <w:r w:rsidR="00776B39" w:rsidRPr="00BB200C">
        <w:t>Counselling</w:t>
      </w:r>
    </w:p>
    <w:p w14:paraId="4C8D7662" w14:textId="77777777" w:rsidR="00BB200C" w:rsidRPr="00BB200C" w:rsidRDefault="00BB200C" w:rsidP="00776B39">
      <w:pPr>
        <w:numPr>
          <w:ilvl w:val="0"/>
          <w:numId w:val="33"/>
        </w:numPr>
        <w:spacing w:line="240" w:lineRule="auto"/>
      </w:pPr>
      <w:r w:rsidRPr="00BB200C">
        <w:t>Parental Supervision</w:t>
      </w:r>
    </w:p>
    <w:p w14:paraId="6A035FB9" w14:textId="77777777" w:rsidR="00BB200C" w:rsidRPr="00BB200C" w:rsidRDefault="00BB200C" w:rsidP="00776B39">
      <w:pPr>
        <w:numPr>
          <w:ilvl w:val="0"/>
          <w:numId w:val="33"/>
        </w:numPr>
        <w:spacing w:line="240" w:lineRule="auto"/>
      </w:pPr>
      <w:r w:rsidRPr="00BB200C">
        <w:t>Youth Master Dataset</w:t>
      </w:r>
    </w:p>
    <w:p w14:paraId="1E7C190C" w14:textId="77777777" w:rsidR="00BB200C" w:rsidRPr="00BB200C" w:rsidRDefault="00BB200C" w:rsidP="00776B39">
      <w:pPr>
        <w:numPr>
          <w:ilvl w:val="0"/>
          <w:numId w:val="33"/>
        </w:numPr>
        <w:spacing w:line="240" w:lineRule="auto"/>
      </w:pPr>
      <w:r w:rsidRPr="00BB200C">
        <w:t>Pre- and In-Analysis Boards</w:t>
      </w:r>
    </w:p>
    <w:p w14:paraId="19D996DC" w14:textId="77777777" w:rsidR="00BB200C" w:rsidRPr="00BB200C" w:rsidRDefault="00BB200C" w:rsidP="00776B39">
      <w:pPr>
        <w:numPr>
          <w:ilvl w:val="0"/>
          <w:numId w:val="33"/>
        </w:numPr>
        <w:spacing w:line="240" w:lineRule="auto"/>
      </w:pPr>
      <w:r w:rsidRPr="00BB200C">
        <w:t>Visualization Dashboards</w:t>
      </w:r>
    </w:p>
    <w:p w14:paraId="4B7D43EC" w14:textId="77777777" w:rsidR="00BB200C" w:rsidRPr="00BB200C" w:rsidRDefault="00BB200C" w:rsidP="00776B39">
      <w:pPr>
        <w:spacing w:line="240" w:lineRule="auto"/>
      </w:pPr>
      <w:r w:rsidRPr="00BB200C">
        <w:rPr>
          <w:b/>
          <w:bCs/>
        </w:rPr>
        <w:t>Methodologies in Excel:</w:t>
      </w:r>
    </w:p>
    <w:p w14:paraId="1FA391F3" w14:textId="77777777" w:rsidR="00BB200C" w:rsidRPr="00BB200C" w:rsidRDefault="00BB200C" w:rsidP="00776B39">
      <w:pPr>
        <w:numPr>
          <w:ilvl w:val="0"/>
          <w:numId w:val="34"/>
        </w:numPr>
        <w:spacing w:line="240" w:lineRule="auto"/>
      </w:pPr>
      <w:r w:rsidRPr="00BB200C">
        <w:t>Pivot Tables for summarizing categorical trends</w:t>
      </w:r>
    </w:p>
    <w:p w14:paraId="6122C941" w14:textId="77777777" w:rsidR="00BB200C" w:rsidRPr="00BB200C" w:rsidRDefault="00BB200C" w:rsidP="00776B39">
      <w:pPr>
        <w:numPr>
          <w:ilvl w:val="0"/>
          <w:numId w:val="34"/>
        </w:numPr>
        <w:spacing w:line="240" w:lineRule="auto"/>
      </w:pPr>
      <w:r w:rsidRPr="00BB200C">
        <w:t>VLOOKUP for data merging and enrichment</w:t>
      </w:r>
    </w:p>
    <w:p w14:paraId="0E8FA260" w14:textId="77777777" w:rsidR="00BB200C" w:rsidRPr="00BB200C" w:rsidRDefault="00BB200C" w:rsidP="00776B39">
      <w:pPr>
        <w:numPr>
          <w:ilvl w:val="0"/>
          <w:numId w:val="34"/>
        </w:numPr>
        <w:spacing w:line="240" w:lineRule="auto"/>
      </w:pPr>
      <w:r w:rsidRPr="00BB200C">
        <w:t>Conditional Formatting for pattern recognition</w:t>
      </w:r>
    </w:p>
    <w:p w14:paraId="3754F599" w14:textId="77777777" w:rsidR="00BB200C" w:rsidRPr="00BB200C" w:rsidRDefault="00BB200C" w:rsidP="00776B39">
      <w:pPr>
        <w:numPr>
          <w:ilvl w:val="0"/>
          <w:numId w:val="34"/>
        </w:numPr>
        <w:spacing w:line="240" w:lineRule="auto"/>
      </w:pPr>
      <w:r w:rsidRPr="00BB200C">
        <w:t>Charts (bar, line, scatter) for visual representation</w:t>
      </w:r>
    </w:p>
    <w:p w14:paraId="5E0FFD9D" w14:textId="77777777" w:rsidR="0064395C" w:rsidRPr="002D47F3" w:rsidRDefault="0064395C" w:rsidP="00776B39">
      <w:pPr>
        <w:spacing w:line="240" w:lineRule="auto"/>
      </w:pPr>
    </w:p>
    <w:p w14:paraId="50D34B25" w14:textId="713874A5" w:rsidR="0064395C" w:rsidRPr="002D47F3" w:rsidRDefault="0064395C" w:rsidP="00776B39">
      <w:pPr>
        <w:spacing w:line="240" w:lineRule="auto"/>
        <w:rPr>
          <w:b/>
          <w:bCs/>
        </w:rPr>
      </w:pPr>
      <w:r w:rsidRPr="002D47F3">
        <w:rPr>
          <w:b/>
          <w:bCs/>
        </w:rPr>
        <w:t>Story of Data</w:t>
      </w:r>
    </w:p>
    <w:p w14:paraId="3090A0CF" w14:textId="603199E4" w:rsidR="0064395C" w:rsidRPr="002D47F3" w:rsidRDefault="007015E1" w:rsidP="00776B39">
      <w:pPr>
        <w:pStyle w:val="ListParagraph"/>
        <w:numPr>
          <w:ilvl w:val="0"/>
          <w:numId w:val="7"/>
        </w:numPr>
        <w:spacing w:line="240" w:lineRule="auto"/>
        <w:rPr>
          <w:b/>
          <w:bCs/>
        </w:rPr>
      </w:pPr>
      <w:r w:rsidRPr="002D47F3">
        <w:rPr>
          <w:b/>
          <w:bCs/>
        </w:rPr>
        <w:t>Data source</w:t>
      </w:r>
    </w:p>
    <w:p w14:paraId="45C26856" w14:textId="3152011A" w:rsidR="007015E1" w:rsidRPr="002D47F3" w:rsidRDefault="007015E1" w:rsidP="00776B39">
      <w:pPr>
        <w:pStyle w:val="ListParagraph"/>
        <w:spacing w:line="240" w:lineRule="auto"/>
      </w:pPr>
      <w:r w:rsidRPr="002D47F3">
        <w:t>This dataset is sourced from Kaggle.com</w:t>
      </w:r>
    </w:p>
    <w:p w14:paraId="2E1E0CF3" w14:textId="77777777" w:rsidR="007432DF" w:rsidRPr="002D47F3" w:rsidRDefault="007432DF" w:rsidP="00776B39">
      <w:pPr>
        <w:pStyle w:val="ListParagraph"/>
        <w:spacing w:line="240" w:lineRule="auto"/>
      </w:pPr>
    </w:p>
    <w:p w14:paraId="469FA5A8" w14:textId="3337D453" w:rsidR="007432DF" w:rsidRPr="002D47F3" w:rsidRDefault="007432DF" w:rsidP="00776B39">
      <w:pPr>
        <w:pStyle w:val="ListParagraph"/>
        <w:numPr>
          <w:ilvl w:val="0"/>
          <w:numId w:val="7"/>
        </w:numPr>
        <w:spacing w:line="240" w:lineRule="auto"/>
        <w:rPr>
          <w:b/>
          <w:bCs/>
        </w:rPr>
      </w:pPr>
      <w:r w:rsidRPr="002D47F3">
        <w:rPr>
          <w:b/>
          <w:bCs/>
        </w:rPr>
        <w:t>Data Collection Process</w:t>
      </w:r>
    </w:p>
    <w:p w14:paraId="4E1360A3" w14:textId="0248DF8E" w:rsidR="007432DF" w:rsidRPr="002D47F3" w:rsidRDefault="007432DF" w:rsidP="00776B39">
      <w:pPr>
        <w:pStyle w:val="ListParagraph"/>
        <w:spacing w:line="240" w:lineRule="auto"/>
      </w:pPr>
      <w:r w:rsidRPr="002D47F3">
        <w:t>The data collection process is by web scraping.</w:t>
      </w:r>
    </w:p>
    <w:p w14:paraId="69E3A1E1" w14:textId="77777777" w:rsidR="007432DF" w:rsidRPr="002D47F3" w:rsidRDefault="007432DF" w:rsidP="00776B39">
      <w:pPr>
        <w:pStyle w:val="ListParagraph"/>
        <w:spacing w:line="240" w:lineRule="auto"/>
      </w:pPr>
    </w:p>
    <w:p w14:paraId="7C102BA3" w14:textId="01D5E846" w:rsidR="007432DF" w:rsidRPr="002D47F3" w:rsidRDefault="007432DF" w:rsidP="00776B39">
      <w:pPr>
        <w:pStyle w:val="ListParagraph"/>
        <w:numPr>
          <w:ilvl w:val="0"/>
          <w:numId w:val="7"/>
        </w:numPr>
        <w:spacing w:line="240" w:lineRule="auto"/>
        <w:rPr>
          <w:b/>
          <w:bCs/>
        </w:rPr>
      </w:pPr>
      <w:r w:rsidRPr="002D47F3">
        <w:rPr>
          <w:b/>
          <w:bCs/>
        </w:rPr>
        <w:t>Data Structure</w:t>
      </w:r>
    </w:p>
    <w:p w14:paraId="5895725A" w14:textId="78E130AB" w:rsidR="007432DF" w:rsidRPr="002D47F3" w:rsidRDefault="007432DF" w:rsidP="00776B39">
      <w:pPr>
        <w:pStyle w:val="ListParagraph"/>
        <w:spacing w:line="240" w:lineRule="auto"/>
      </w:pPr>
      <w:r w:rsidRPr="002D47F3">
        <w:t>The dataset is organized in a tabular format, where:</w:t>
      </w:r>
    </w:p>
    <w:p w14:paraId="3005BA85" w14:textId="77777777" w:rsidR="00124847" w:rsidRPr="00124847" w:rsidRDefault="00124847" w:rsidP="00776B39">
      <w:pPr>
        <w:pStyle w:val="ListParagraph"/>
        <w:numPr>
          <w:ilvl w:val="0"/>
          <w:numId w:val="35"/>
        </w:numPr>
        <w:spacing w:line="240" w:lineRule="auto"/>
      </w:pPr>
      <w:r w:rsidRPr="00124847">
        <w:rPr>
          <w:b/>
          <w:bCs/>
        </w:rPr>
        <w:t>Rows:</w:t>
      </w:r>
      <w:r w:rsidRPr="00124847">
        <w:t xml:space="preserve"> Represent different observations or aggregated categories (e.g., year, age group, gender).</w:t>
      </w:r>
    </w:p>
    <w:p w14:paraId="66D13DFB" w14:textId="77777777" w:rsidR="00124847" w:rsidRPr="00124847" w:rsidRDefault="00124847" w:rsidP="00776B39">
      <w:pPr>
        <w:pStyle w:val="ListParagraph"/>
        <w:numPr>
          <w:ilvl w:val="0"/>
          <w:numId w:val="35"/>
        </w:numPr>
        <w:spacing w:line="240" w:lineRule="auto"/>
      </w:pPr>
      <w:r w:rsidRPr="00124847">
        <w:rPr>
          <w:b/>
          <w:bCs/>
        </w:rPr>
        <w:t>Columns:</w:t>
      </w:r>
      <w:r w:rsidRPr="00124847">
        <w:t xml:space="preserve"> Represent features such as mental health scores, drug use status, smoking prevalence, media influence, and access to services.</w:t>
      </w:r>
    </w:p>
    <w:p w14:paraId="34305764" w14:textId="67F0EDAC" w:rsidR="00124847" w:rsidRPr="00124847" w:rsidRDefault="00124847" w:rsidP="00776B39">
      <w:pPr>
        <w:pStyle w:val="ListParagraph"/>
        <w:numPr>
          <w:ilvl w:val="0"/>
          <w:numId w:val="36"/>
        </w:numPr>
        <w:spacing w:line="240" w:lineRule="auto"/>
      </w:pPr>
      <w:r w:rsidRPr="00124847">
        <w:rPr>
          <w:b/>
          <w:bCs/>
        </w:rPr>
        <w:t xml:space="preserve">“Mental Health </w:t>
      </w:r>
      <w:r w:rsidRPr="002D47F3">
        <w:rPr>
          <w:b/>
          <w:bCs/>
        </w:rPr>
        <w:t>by</w:t>
      </w:r>
      <w:r w:rsidRPr="00124847">
        <w:rPr>
          <w:b/>
          <w:bCs/>
        </w:rPr>
        <w:t xml:space="preserve"> Year”</w:t>
      </w:r>
      <w:r w:rsidRPr="00124847">
        <w:t xml:space="preserve"> captures year-wise averages of mental health and related metrics.</w:t>
      </w:r>
    </w:p>
    <w:p w14:paraId="3D957224" w14:textId="781F0CAC" w:rsidR="00124847" w:rsidRPr="00124847" w:rsidRDefault="00124847" w:rsidP="00776B39">
      <w:pPr>
        <w:pStyle w:val="ListParagraph"/>
        <w:numPr>
          <w:ilvl w:val="0"/>
          <w:numId w:val="36"/>
        </w:numPr>
        <w:spacing w:line="240" w:lineRule="auto"/>
      </w:pPr>
      <w:r w:rsidRPr="00124847">
        <w:rPr>
          <w:b/>
          <w:bCs/>
        </w:rPr>
        <w:t>“</w:t>
      </w:r>
      <w:r w:rsidR="004511EC" w:rsidRPr="002D47F3">
        <w:rPr>
          <w:b/>
          <w:bCs/>
        </w:rPr>
        <w:t xml:space="preserve">Youth </w:t>
      </w:r>
      <w:r w:rsidRPr="00124847">
        <w:rPr>
          <w:b/>
          <w:bCs/>
        </w:rPr>
        <w:t>smoking</w:t>
      </w:r>
      <w:r w:rsidR="004511EC" w:rsidRPr="002D47F3">
        <w:rPr>
          <w:b/>
          <w:bCs/>
        </w:rPr>
        <w:t xml:space="preserve"> </w:t>
      </w:r>
      <w:r w:rsidRPr="00124847">
        <w:rPr>
          <w:b/>
          <w:bCs/>
        </w:rPr>
        <w:t>drug</w:t>
      </w:r>
      <w:r w:rsidR="004511EC" w:rsidRPr="002D47F3">
        <w:rPr>
          <w:b/>
          <w:bCs/>
        </w:rPr>
        <w:t xml:space="preserve"> </w:t>
      </w:r>
      <w:r w:rsidRPr="00124847">
        <w:rPr>
          <w:b/>
          <w:bCs/>
        </w:rPr>
        <w:t>data”</w:t>
      </w:r>
      <w:r w:rsidRPr="00124847">
        <w:t xml:space="preserve"> serves as the master dataset with comprehensive variables for each respondent or group.</w:t>
      </w:r>
    </w:p>
    <w:p w14:paraId="2948AE9D" w14:textId="79964BFB" w:rsidR="00124847" w:rsidRPr="00124847" w:rsidRDefault="00124847" w:rsidP="00776B39">
      <w:pPr>
        <w:pStyle w:val="ListParagraph"/>
        <w:numPr>
          <w:ilvl w:val="0"/>
          <w:numId w:val="36"/>
        </w:numPr>
        <w:spacing w:line="240" w:lineRule="auto"/>
      </w:pPr>
      <w:r w:rsidRPr="00124847">
        <w:rPr>
          <w:b/>
          <w:bCs/>
        </w:rPr>
        <w:t>“Media Influence on Age Groups”</w:t>
      </w:r>
      <w:r w:rsidRPr="00124847">
        <w:t xml:space="preserve"> links external influence with youth </w:t>
      </w:r>
      <w:r w:rsidR="004511EC" w:rsidRPr="002D47F3">
        <w:t>behaviour</w:t>
      </w:r>
      <w:r w:rsidRPr="00124847">
        <w:t>.</w:t>
      </w:r>
    </w:p>
    <w:p w14:paraId="4B7F9304" w14:textId="77777777" w:rsidR="007432DF" w:rsidRPr="002D47F3" w:rsidRDefault="007432DF" w:rsidP="00776B39">
      <w:pPr>
        <w:pStyle w:val="ListParagraph"/>
        <w:spacing w:line="240" w:lineRule="auto"/>
        <w:ind w:left="1440"/>
      </w:pPr>
    </w:p>
    <w:p w14:paraId="77BD209D" w14:textId="47DEC825" w:rsidR="007432DF" w:rsidRDefault="007432DF" w:rsidP="00776B39">
      <w:pPr>
        <w:pStyle w:val="ListParagraph"/>
        <w:numPr>
          <w:ilvl w:val="0"/>
          <w:numId w:val="7"/>
        </w:numPr>
        <w:spacing w:line="240" w:lineRule="auto"/>
        <w:rPr>
          <w:b/>
          <w:bCs/>
        </w:rPr>
      </w:pPr>
      <w:r w:rsidRPr="002D47F3">
        <w:rPr>
          <w:b/>
          <w:bCs/>
        </w:rPr>
        <w:t>Important features and their significance</w:t>
      </w:r>
    </w:p>
    <w:p w14:paraId="70763B55" w14:textId="77777777" w:rsidR="00DD678B" w:rsidRPr="002D47F3" w:rsidRDefault="00DD678B" w:rsidP="00776B39">
      <w:pPr>
        <w:pStyle w:val="ListParagraph"/>
        <w:spacing w:line="240" w:lineRule="auto"/>
        <w:rPr>
          <w:b/>
          <w:bCs/>
        </w:rPr>
      </w:pPr>
    </w:p>
    <w:p w14:paraId="72917BA6" w14:textId="66AE6788" w:rsidR="004511EC" w:rsidRPr="00DD678B" w:rsidRDefault="004511EC" w:rsidP="00776B39">
      <w:pPr>
        <w:pStyle w:val="ListParagraph"/>
        <w:numPr>
          <w:ilvl w:val="0"/>
          <w:numId w:val="36"/>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t>Mental Health</w:t>
      </w:r>
      <w:r w:rsidRPr="00DD678B">
        <w:rPr>
          <w:rFonts w:eastAsia="Times New Roman" w:cs="Times New Roman"/>
          <w:kern w:val="0"/>
          <w:lang w:eastAsia="en-GB"/>
          <w14:ligatures w14:val="none"/>
        </w:rPr>
        <w:t>: Central variable; gauges overall psychological well-being.</w:t>
      </w:r>
    </w:p>
    <w:p w14:paraId="524176EE" w14:textId="16D8781B" w:rsidR="004511EC" w:rsidRPr="00DD678B" w:rsidRDefault="004511EC" w:rsidP="00776B39">
      <w:pPr>
        <w:pStyle w:val="ListParagraph"/>
        <w:numPr>
          <w:ilvl w:val="0"/>
          <w:numId w:val="36"/>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t>Smoking Prevalence</w:t>
      </w:r>
      <w:r w:rsidRPr="00DD678B">
        <w:rPr>
          <w:rFonts w:eastAsia="Times New Roman" w:cs="Times New Roman"/>
          <w:kern w:val="0"/>
          <w:lang w:eastAsia="en-GB"/>
          <w14:ligatures w14:val="none"/>
        </w:rPr>
        <w:t xml:space="preserve"> &amp; </w:t>
      </w:r>
      <w:r w:rsidRPr="00DD678B">
        <w:rPr>
          <w:rFonts w:eastAsia="Times New Roman" w:cs="Times New Roman"/>
          <w:kern w:val="0"/>
          <w:lang w:eastAsia="en-GB"/>
          <w14:ligatures w14:val="none"/>
        </w:rPr>
        <w:t>Drug Experimentation</w:t>
      </w:r>
      <w:r w:rsidRPr="00DD678B">
        <w:rPr>
          <w:rFonts w:eastAsia="Times New Roman" w:cs="Times New Roman"/>
          <w:kern w:val="0"/>
          <w:lang w:eastAsia="en-GB"/>
          <w14:ligatures w14:val="none"/>
        </w:rPr>
        <w:t xml:space="preserve">: </w:t>
      </w:r>
      <w:r w:rsidRPr="00DD678B">
        <w:rPr>
          <w:rFonts w:eastAsia="Times New Roman" w:cs="Times New Roman"/>
          <w:kern w:val="0"/>
          <w:lang w:eastAsia="en-GB"/>
          <w14:ligatures w14:val="none"/>
        </w:rPr>
        <w:t>Behavioural</w:t>
      </w:r>
      <w:r w:rsidRPr="00DD678B">
        <w:rPr>
          <w:rFonts w:eastAsia="Times New Roman" w:cs="Times New Roman"/>
          <w:kern w:val="0"/>
          <w:lang w:eastAsia="en-GB"/>
          <w14:ligatures w14:val="none"/>
        </w:rPr>
        <w:t xml:space="preserve"> indicators of risk.</w:t>
      </w:r>
    </w:p>
    <w:p w14:paraId="347C6A65" w14:textId="2D31323A" w:rsidR="004511EC" w:rsidRPr="00DD678B" w:rsidRDefault="004511EC" w:rsidP="00776B39">
      <w:pPr>
        <w:pStyle w:val="ListParagraph"/>
        <w:numPr>
          <w:ilvl w:val="0"/>
          <w:numId w:val="36"/>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lastRenderedPageBreak/>
        <w:t>Socioeconomic Status</w:t>
      </w:r>
      <w:r w:rsidRPr="00DD678B">
        <w:rPr>
          <w:rFonts w:eastAsia="Times New Roman" w:cs="Times New Roman"/>
          <w:kern w:val="0"/>
          <w:lang w:eastAsia="en-GB"/>
          <w14:ligatures w14:val="none"/>
        </w:rPr>
        <w:t xml:space="preserve"> &amp; </w:t>
      </w:r>
      <w:r w:rsidRPr="00DD678B">
        <w:rPr>
          <w:rFonts w:eastAsia="Times New Roman" w:cs="Times New Roman"/>
          <w:kern w:val="0"/>
          <w:lang w:eastAsia="en-GB"/>
          <w14:ligatures w14:val="none"/>
        </w:rPr>
        <w:t>Parental Supervision</w:t>
      </w:r>
      <w:r w:rsidRPr="00DD678B">
        <w:rPr>
          <w:rFonts w:eastAsia="Times New Roman" w:cs="Times New Roman"/>
          <w:kern w:val="0"/>
          <w:lang w:eastAsia="en-GB"/>
          <w14:ligatures w14:val="none"/>
        </w:rPr>
        <w:t>: Environmental and social context.</w:t>
      </w:r>
    </w:p>
    <w:p w14:paraId="240A67AE" w14:textId="220A0AB8" w:rsidR="004511EC" w:rsidRPr="00DD678B" w:rsidRDefault="004511EC" w:rsidP="00776B39">
      <w:pPr>
        <w:pStyle w:val="ListParagraph"/>
        <w:numPr>
          <w:ilvl w:val="0"/>
          <w:numId w:val="36"/>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t xml:space="preserve">Access </w:t>
      </w:r>
      <w:r w:rsidRPr="00DD678B">
        <w:rPr>
          <w:rFonts w:eastAsia="Times New Roman" w:cs="Times New Roman"/>
          <w:kern w:val="0"/>
          <w:lang w:eastAsia="en-GB"/>
          <w14:ligatures w14:val="none"/>
        </w:rPr>
        <w:t>to</w:t>
      </w:r>
      <w:r w:rsidRPr="00DD678B">
        <w:rPr>
          <w:rFonts w:eastAsia="Times New Roman" w:cs="Times New Roman"/>
          <w:kern w:val="0"/>
          <w:lang w:eastAsia="en-GB"/>
          <w14:ligatures w14:val="none"/>
        </w:rPr>
        <w:t xml:space="preserve"> Counselling</w:t>
      </w:r>
      <w:r w:rsidRPr="00DD678B">
        <w:rPr>
          <w:rFonts w:eastAsia="Times New Roman" w:cs="Times New Roman"/>
          <w:kern w:val="0"/>
          <w:lang w:eastAsia="en-GB"/>
          <w14:ligatures w14:val="none"/>
        </w:rPr>
        <w:t xml:space="preserve"> &amp; </w:t>
      </w:r>
      <w:r w:rsidRPr="00DD678B">
        <w:rPr>
          <w:rFonts w:eastAsia="Times New Roman" w:cs="Times New Roman"/>
          <w:kern w:val="0"/>
          <w:lang w:eastAsia="en-GB"/>
          <w14:ligatures w14:val="none"/>
        </w:rPr>
        <w:t>School Programs</w:t>
      </w:r>
      <w:r w:rsidRPr="00DD678B">
        <w:rPr>
          <w:rFonts w:eastAsia="Times New Roman" w:cs="Times New Roman"/>
          <w:kern w:val="0"/>
          <w:lang w:eastAsia="en-GB"/>
          <w14:ligatures w14:val="none"/>
        </w:rPr>
        <w:t>: Support mechanisms available to youth.</w:t>
      </w:r>
    </w:p>
    <w:p w14:paraId="3E384086" w14:textId="7B4AE9F3" w:rsidR="004511EC" w:rsidRPr="00DD678B" w:rsidRDefault="004511EC" w:rsidP="00776B39">
      <w:pPr>
        <w:pStyle w:val="ListParagraph"/>
        <w:numPr>
          <w:ilvl w:val="0"/>
          <w:numId w:val="36"/>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t>Media Influence</w:t>
      </w:r>
      <w:r w:rsidRPr="00DD678B">
        <w:rPr>
          <w:rFonts w:eastAsia="Times New Roman" w:cs="Times New Roman"/>
          <w:kern w:val="0"/>
          <w:lang w:eastAsia="en-GB"/>
          <w14:ligatures w14:val="none"/>
        </w:rPr>
        <w:t xml:space="preserve"> &amp; </w:t>
      </w:r>
      <w:r w:rsidRPr="00DD678B">
        <w:rPr>
          <w:rFonts w:eastAsia="Times New Roman" w:cs="Times New Roman"/>
          <w:kern w:val="0"/>
          <w:lang w:eastAsia="en-GB"/>
          <w14:ligatures w14:val="none"/>
        </w:rPr>
        <w:t>Peer Influence</w:t>
      </w:r>
      <w:r w:rsidRPr="00DD678B">
        <w:rPr>
          <w:rFonts w:eastAsia="Times New Roman" w:cs="Times New Roman"/>
          <w:kern w:val="0"/>
          <w:lang w:eastAsia="en-GB"/>
          <w14:ligatures w14:val="none"/>
        </w:rPr>
        <w:t>: External influences shaping decisions.</w:t>
      </w:r>
    </w:p>
    <w:p w14:paraId="7570CA76" w14:textId="77777777" w:rsidR="002B222E" w:rsidRPr="002D47F3" w:rsidRDefault="002B222E" w:rsidP="00776B39">
      <w:pPr>
        <w:spacing w:line="240" w:lineRule="auto"/>
        <w:rPr>
          <w:b/>
          <w:bCs/>
        </w:rPr>
      </w:pPr>
    </w:p>
    <w:p w14:paraId="683F4398" w14:textId="2D7A47EC" w:rsidR="002B222E" w:rsidRPr="002D47F3" w:rsidRDefault="002B222E" w:rsidP="00776B39">
      <w:pPr>
        <w:pStyle w:val="ListParagraph"/>
        <w:numPr>
          <w:ilvl w:val="0"/>
          <w:numId w:val="7"/>
        </w:numPr>
        <w:spacing w:line="240" w:lineRule="auto"/>
        <w:rPr>
          <w:b/>
          <w:bCs/>
        </w:rPr>
      </w:pPr>
      <w:r w:rsidRPr="002D47F3">
        <w:rPr>
          <w:b/>
          <w:bCs/>
        </w:rPr>
        <w:t>Data Limitations or Biases</w:t>
      </w:r>
    </w:p>
    <w:p w14:paraId="72370C0A" w14:textId="7B3A540C" w:rsidR="00535488" w:rsidRPr="00DD678B" w:rsidRDefault="00535488" w:rsidP="00776B39">
      <w:pPr>
        <w:pStyle w:val="ListParagraph"/>
        <w:numPr>
          <w:ilvl w:val="0"/>
          <w:numId w:val="42"/>
        </w:numPr>
        <w:spacing w:before="100" w:beforeAutospacing="1" w:after="100" w:afterAutospacing="1" w:line="240" w:lineRule="auto"/>
        <w:rPr>
          <w:rFonts w:eastAsia="Times New Roman" w:cs="Times New Roman"/>
          <w:kern w:val="0"/>
          <w:lang w:eastAsia="en-GB"/>
          <w14:ligatures w14:val="none"/>
        </w:rPr>
      </w:pPr>
      <w:r w:rsidRPr="002D47F3">
        <w:rPr>
          <w:rFonts w:eastAsia="Times New Roman" w:cs="Times New Roman"/>
          <w:kern w:val="0"/>
          <w:lang w:eastAsia="en-GB"/>
          <w14:ligatures w14:val="none"/>
        </w:rPr>
        <w:t xml:space="preserve"> </w:t>
      </w:r>
      <w:r w:rsidRPr="00DD678B">
        <w:rPr>
          <w:rFonts w:eastAsia="Times New Roman" w:cs="Times New Roman"/>
          <w:kern w:val="0"/>
          <w:lang w:eastAsia="en-GB"/>
          <w14:ligatures w14:val="none"/>
        </w:rPr>
        <w:t>Missing</w:t>
      </w:r>
      <w:r w:rsidRPr="00DD678B">
        <w:rPr>
          <w:rFonts w:eastAsia="Times New Roman" w:cs="Times New Roman"/>
          <w:kern w:val="0"/>
          <w:lang w:eastAsia="en-GB"/>
          <w14:ligatures w14:val="none"/>
        </w:rPr>
        <w:t xml:space="preserve"> or Unclear Values: Some sheets have </w:t>
      </w:r>
      <w:proofErr w:type="spellStart"/>
      <w:r w:rsidRPr="00DD678B">
        <w:rPr>
          <w:rFonts w:eastAsia="Times New Roman" w:cs="Courier New"/>
          <w:kern w:val="0"/>
          <w:lang w:eastAsia="en-GB"/>
          <w14:ligatures w14:val="none"/>
        </w:rPr>
        <w:t>NaN</w:t>
      </w:r>
      <w:proofErr w:type="spellEnd"/>
      <w:r w:rsidRPr="00DD678B">
        <w:rPr>
          <w:rFonts w:eastAsia="Times New Roman" w:cs="Times New Roman"/>
          <w:kern w:val="0"/>
          <w:lang w:eastAsia="en-GB"/>
          <w14:ligatures w14:val="none"/>
        </w:rPr>
        <w:t xml:space="preserve"> values or non-standard headers.</w:t>
      </w:r>
    </w:p>
    <w:p w14:paraId="44D5DB03" w14:textId="29F63FC1" w:rsidR="00535488" w:rsidRPr="00DD678B" w:rsidRDefault="00535488" w:rsidP="00776B39">
      <w:pPr>
        <w:pStyle w:val="ListParagraph"/>
        <w:numPr>
          <w:ilvl w:val="0"/>
          <w:numId w:val="42"/>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t> Aggregation</w:t>
      </w:r>
      <w:r w:rsidRPr="00DD678B">
        <w:rPr>
          <w:rFonts w:eastAsia="Times New Roman" w:cs="Times New Roman"/>
          <w:kern w:val="0"/>
          <w:lang w:eastAsia="en-GB"/>
          <w14:ligatures w14:val="none"/>
        </w:rPr>
        <w:t xml:space="preserve"> Issues: Certain sheets use pivoted formats or aggregated averages, limiting row-level insights.</w:t>
      </w:r>
    </w:p>
    <w:p w14:paraId="5B3FD3D6" w14:textId="658C198E" w:rsidR="00535488" w:rsidRPr="00DD678B" w:rsidRDefault="00535488" w:rsidP="00776B39">
      <w:pPr>
        <w:pStyle w:val="ListParagraph"/>
        <w:numPr>
          <w:ilvl w:val="0"/>
          <w:numId w:val="42"/>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t> Self</w:t>
      </w:r>
      <w:r w:rsidRPr="00DD678B">
        <w:rPr>
          <w:rFonts w:eastAsia="Times New Roman" w:cs="Times New Roman"/>
          <w:kern w:val="0"/>
          <w:lang w:eastAsia="en-GB"/>
          <w14:ligatures w14:val="none"/>
        </w:rPr>
        <w:t>-Reported Bias: Data may be affected by underreporting or misreporting due to the sensitive nature of mental health and drug use.</w:t>
      </w:r>
    </w:p>
    <w:p w14:paraId="3AAE991A" w14:textId="76F5C0C2" w:rsidR="00535488" w:rsidRPr="00DD678B" w:rsidRDefault="00535488" w:rsidP="00776B39">
      <w:pPr>
        <w:pStyle w:val="ListParagraph"/>
        <w:numPr>
          <w:ilvl w:val="0"/>
          <w:numId w:val="42"/>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t> Lack</w:t>
      </w:r>
      <w:r w:rsidRPr="00DD678B">
        <w:rPr>
          <w:rFonts w:eastAsia="Times New Roman" w:cs="Times New Roman"/>
          <w:kern w:val="0"/>
          <w:lang w:eastAsia="en-GB"/>
          <w14:ligatures w14:val="none"/>
        </w:rPr>
        <w:t xml:space="preserve"> of Temporal Detail: Some time-based trends are averaged by year without monthly or quarterly granularity.</w:t>
      </w:r>
    </w:p>
    <w:p w14:paraId="35F40E29" w14:textId="77777777" w:rsidR="003D6060" w:rsidRPr="002D47F3" w:rsidRDefault="003D6060" w:rsidP="00776B39">
      <w:pPr>
        <w:spacing w:line="240" w:lineRule="auto"/>
      </w:pPr>
    </w:p>
    <w:p w14:paraId="57B8E4A7" w14:textId="418C547C" w:rsidR="003D6060" w:rsidRPr="002D47F3" w:rsidRDefault="003D6060" w:rsidP="00776B39">
      <w:pPr>
        <w:spacing w:line="240" w:lineRule="auto"/>
        <w:rPr>
          <w:b/>
          <w:bCs/>
        </w:rPr>
      </w:pPr>
      <w:r w:rsidRPr="002D47F3">
        <w:rPr>
          <w:b/>
          <w:bCs/>
        </w:rPr>
        <w:t>Data Splitting and Preprocessing</w:t>
      </w:r>
    </w:p>
    <w:p w14:paraId="5BE38E5C" w14:textId="25F373D3" w:rsidR="003D6060" w:rsidRPr="002D47F3" w:rsidRDefault="001C29BC" w:rsidP="00776B39">
      <w:pPr>
        <w:pStyle w:val="ListParagraph"/>
        <w:numPr>
          <w:ilvl w:val="0"/>
          <w:numId w:val="17"/>
        </w:numPr>
        <w:spacing w:line="240" w:lineRule="auto"/>
        <w:rPr>
          <w:b/>
          <w:bCs/>
        </w:rPr>
      </w:pPr>
      <w:r w:rsidRPr="002D47F3">
        <w:rPr>
          <w:b/>
          <w:bCs/>
        </w:rPr>
        <w:t>Data Cleaning</w:t>
      </w:r>
    </w:p>
    <w:p w14:paraId="53882098" w14:textId="608A7C8B" w:rsidR="00AF6CFC" w:rsidRPr="002D47F3" w:rsidRDefault="00C37C5F" w:rsidP="00776B39">
      <w:pPr>
        <w:pStyle w:val="ListParagraph"/>
        <w:spacing w:line="240" w:lineRule="auto"/>
        <w:ind w:left="1440"/>
      </w:pPr>
      <w:r w:rsidRPr="002D47F3">
        <w:t>Several sheets contained non-data rows (e.g., labels, subtotals) which were excluded. Missing values were identified across fields such as socioeconomic status, parental supervision, and media influence. Unnecessary columns were removed, and uniform headers were applied for consistency across datasets.</w:t>
      </w:r>
    </w:p>
    <w:p w14:paraId="04C0E502" w14:textId="77777777" w:rsidR="00C37C5F" w:rsidRPr="002D47F3" w:rsidRDefault="00C37C5F" w:rsidP="00776B39">
      <w:pPr>
        <w:pStyle w:val="ListParagraph"/>
        <w:spacing w:line="240" w:lineRule="auto"/>
        <w:ind w:left="1440"/>
      </w:pPr>
    </w:p>
    <w:p w14:paraId="6C2A2AF5" w14:textId="679E66B4" w:rsidR="00121ED4" w:rsidRPr="002D47F3" w:rsidRDefault="008F4BFE" w:rsidP="00776B39">
      <w:pPr>
        <w:pStyle w:val="ListParagraph"/>
        <w:numPr>
          <w:ilvl w:val="0"/>
          <w:numId w:val="17"/>
        </w:numPr>
        <w:spacing w:line="240" w:lineRule="auto"/>
        <w:rPr>
          <w:b/>
          <w:bCs/>
        </w:rPr>
      </w:pPr>
      <w:r w:rsidRPr="002D47F3">
        <w:rPr>
          <w:b/>
          <w:bCs/>
        </w:rPr>
        <w:t>Handling Missing Values</w:t>
      </w:r>
    </w:p>
    <w:p w14:paraId="332ED846" w14:textId="33F905D3" w:rsidR="00AF6CFC" w:rsidRPr="002D47F3" w:rsidRDefault="00AF6CFC" w:rsidP="00776B39">
      <w:pPr>
        <w:pStyle w:val="ListParagraph"/>
        <w:numPr>
          <w:ilvl w:val="0"/>
          <w:numId w:val="19"/>
        </w:numPr>
        <w:spacing w:line="240" w:lineRule="auto"/>
        <w:rPr>
          <w:b/>
          <w:bCs/>
        </w:rPr>
      </w:pPr>
      <w:r w:rsidRPr="002D47F3">
        <w:t>There were no missing values.</w:t>
      </w:r>
    </w:p>
    <w:p w14:paraId="673A7E24" w14:textId="77777777" w:rsidR="00C512D6" w:rsidRPr="002D47F3" w:rsidRDefault="00C512D6" w:rsidP="00776B39">
      <w:pPr>
        <w:pStyle w:val="ListParagraph"/>
        <w:spacing w:line="240" w:lineRule="auto"/>
        <w:ind w:left="1440"/>
        <w:rPr>
          <w:b/>
          <w:bCs/>
        </w:rPr>
      </w:pPr>
    </w:p>
    <w:p w14:paraId="6013CD8B" w14:textId="77777777" w:rsidR="00D157C9" w:rsidRPr="002D47F3" w:rsidRDefault="00D157C9" w:rsidP="00776B39">
      <w:pPr>
        <w:pStyle w:val="ListParagraph"/>
        <w:spacing w:line="240" w:lineRule="auto"/>
        <w:rPr>
          <w:b/>
          <w:bCs/>
        </w:rPr>
      </w:pPr>
    </w:p>
    <w:p w14:paraId="484C21B8" w14:textId="2B8D77A8" w:rsidR="000C185F" w:rsidRPr="002D47F3" w:rsidRDefault="00D157C9" w:rsidP="00776B39">
      <w:pPr>
        <w:pStyle w:val="ListParagraph"/>
        <w:numPr>
          <w:ilvl w:val="0"/>
          <w:numId w:val="17"/>
        </w:numPr>
        <w:spacing w:line="240" w:lineRule="auto"/>
        <w:rPr>
          <w:b/>
          <w:bCs/>
        </w:rPr>
      </w:pPr>
      <w:r w:rsidRPr="002D47F3">
        <w:rPr>
          <w:b/>
          <w:bCs/>
        </w:rPr>
        <w:t>Data Splitting</w:t>
      </w:r>
    </w:p>
    <w:p w14:paraId="3946FED5" w14:textId="6CC3E0CB" w:rsidR="008B1A11" w:rsidRPr="002D47F3" w:rsidRDefault="008B1A11" w:rsidP="00776B39">
      <w:pPr>
        <w:pStyle w:val="ListParagraph"/>
        <w:numPr>
          <w:ilvl w:val="0"/>
          <w:numId w:val="19"/>
        </w:numPr>
        <w:spacing w:before="100" w:beforeAutospacing="1" w:after="100" w:afterAutospacing="1" w:line="240" w:lineRule="auto"/>
        <w:rPr>
          <w:rFonts w:eastAsia="Times New Roman" w:cs="Times New Roman"/>
          <w:kern w:val="0"/>
          <w:lang w:eastAsia="en-GB"/>
          <w14:ligatures w14:val="none"/>
        </w:rPr>
      </w:pPr>
      <w:r w:rsidRPr="002D47F3">
        <w:rPr>
          <w:rFonts w:eastAsia="Times New Roman" w:cs="Times New Roman"/>
          <w:kern w:val="0"/>
          <w:lang w:eastAsia="en-GB"/>
          <w14:ligatures w14:val="none"/>
        </w:rPr>
        <w:t>Dependent</w:t>
      </w:r>
      <w:r w:rsidRPr="002D47F3">
        <w:rPr>
          <w:rFonts w:eastAsia="Times New Roman" w:cs="Times New Roman"/>
          <w:b/>
          <w:bCs/>
          <w:kern w:val="0"/>
          <w:lang w:eastAsia="en-GB"/>
          <w14:ligatures w14:val="none"/>
        </w:rPr>
        <w:t xml:space="preserve"> Variable</w:t>
      </w:r>
      <w:r w:rsidRPr="002D47F3">
        <w:rPr>
          <w:rFonts w:eastAsia="Times New Roman" w:cs="Times New Roman"/>
          <w:kern w:val="0"/>
          <w:lang w:eastAsia="en-GB"/>
          <w14:ligatures w14:val="none"/>
        </w:rPr>
        <w:t>: Mental Health score, Drug Experimentation, and Smoking Prevalence were used as outcome variables.</w:t>
      </w:r>
    </w:p>
    <w:p w14:paraId="73AB03F2" w14:textId="3193AA02" w:rsidR="008B1A11" w:rsidRPr="002D47F3" w:rsidRDefault="008B1A11" w:rsidP="00776B39">
      <w:pPr>
        <w:pStyle w:val="ListParagraph"/>
        <w:numPr>
          <w:ilvl w:val="0"/>
          <w:numId w:val="19"/>
        </w:numPr>
        <w:spacing w:before="100" w:beforeAutospacing="1" w:after="100" w:afterAutospacing="1" w:line="240" w:lineRule="auto"/>
        <w:rPr>
          <w:rFonts w:eastAsia="Times New Roman" w:cs="Times New Roman"/>
          <w:kern w:val="0"/>
          <w:lang w:eastAsia="en-GB"/>
          <w14:ligatures w14:val="none"/>
        </w:rPr>
      </w:pPr>
      <w:r w:rsidRPr="002D47F3">
        <w:rPr>
          <w:rFonts w:eastAsia="Times New Roman" w:cs="Times New Roman"/>
          <w:kern w:val="0"/>
          <w:lang w:eastAsia="en-GB"/>
          <w14:ligatures w14:val="none"/>
        </w:rPr>
        <w:t>Independent</w:t>
      </w:r>
      <w:r w:rsidRPr="002D47F3">
        <w:rPr>
          <w:rFonts w:eastAsia="Times New Roman" w:cs="Times New Roman"/>
          <w:b/>
          <w:bCs/>
          <w:kern w:val="0"/>
          <w:lang w:eastAsia="en-GB"/>
          <w14:ligatures w14:val="none"/>
        </w:rPr>
        <w:t xml:space="preserve"> Variables</w:t>
      </w:r>
      <w:r w:rsidRPr="002D47F3">
        <w:rPr>
          <w:rFonts w:eastAsia="Times New Roman" w:cs="Times New Roman"/>
          <w:kern w:val="0"/>
          <w:lang w:eastAsia="en-GB"/>
          <w14:ligatures w14:val="none"/>
        </w:rPr>
        <w:t xml:space="preserve">: Age group, gender, socioeconomic status, access to </w:t>
      </w:r>
      <w:r w:rsidRPr="002D47F3">
        <w:rPr>
          <w:rFonts w:eastAsia="Times New Roman" w:cs="Times New Roman"/>
          <w:kern w:val="0"/>
          <w:lang w:eastAsia="en-GB"/>
          <w14:ligatures w14:val="none"/>
        </w:rPr>
        <w:t>counselling</w:t>
      </w:r>
      <w:r w:rsidRPr="002D47F3">
        <w:rPr>
          <w:rFonts w:eastAsia="Times New Roman" w:cs="Times New Roman"/>
          <w:kern w:val="0"/>
          <w:lang w:eastAsia="en-GB"/>
          <w14:ligatures w14:val="none"/>
        </w:rPr>
        <w:t>, media influence, peer influence, etc.</w:t>
      </w:r>
    </w:p>
    <w:p w14:paraId="495EE7FF" w14:textId="45828225" w:rsidR="00D7414B" w:rsidRPr="002D47F3" w:rsidRDefault="00D7414B" w:rsidP="00776B39">
      <w:pPr>
        <w:spacing w:line="240" w:lineRule="auto"/>
        <w:ind w:left="360"/>
      </w:pPr>
    </w:p>
    <w:p w14:paraId="14E61372" w14:textId="77777777" w:rsidR="006C78A0" w:rsidRPr="002D47F3" w:rsidRDefault="006C78A0" w:rsidP="00776B39">
      <w:pPr>
        <w:pStyle w:val="ListParagraph"/>
        <w:spacing w:line="240" w:lineRule="auto"/>
      </w:pPr>
    </w:p>
    <w:p w14:paraId="357C32C1" w14:textId="45108623" w:rsidR="007E48AB" w:rsidRPr="002D47F3" w:rsidRDefault="00293D39" w:rsidP="00776B39">
      <w:pPr>
        <w:pStyle w:val="ListParagraph"/>
        <w:numPr>
          <w:ilvl w:val="0"/>
          <w:numId w:val="17"/>
        </w:numPr>
        <w:spacing w:line="240" w:lineRule="auto"/>
        <w:rPr>
          <w:b/>
          <w:bCs/>
        </w:rPr>
      </w:pPr>
      <w:r w:rsidRPr="002D47F3">
        <w:rPr>
          <w:b/>
          <w:bCs/>
        </w:rPr>
        <w:t>Industry C</w:t>
      </w:r>
      <w:r w:rsidR="006C78A0" w:rsidRPr="002D47F3">
        <w:rPr>
          <w:b/>
          <w:bCs/>
        </w:rPr>
        <w:t>ontext</w:t>
      </w:r>
    </w:p>
    <w:p w14:paraId="47E3ECD0" w14:textId="55495D2F" w:rsidR="00F11CFE" w:rsidRPr="002D47F3" w:rsidRDefault="00056D15" w:rsidP="00776B39">
      <w:pPr>
        <w:spacing w:line="240" w:lineRule="auto"/>
        <w:rPr>
          <w:b/>
          <w:bCs/>
        </w:rPr>
      </w:pPr>
      <w:r w:rsidRPr="002D47F3">
        <w:t xml:space="preserve">The dataset pertains to the public health and youth development sector. It specifically targets the intersection of mental wellness, </w:t>
      </w:r>
      <w:r w:rsidRPr="002D47F3">
        <w:t>behavioural</w:t>
      </w:r>
      <w:r w:rsidRPr="002D47F3">
        <w:t xml:space="preserve"> science, and social risk factors among youth populations.</w:t>
      </w:r>
    </w:p>
    <w:p w14:paraId="0F342DC2" w14:textId="19E746EA" w:rsidR="006A1A63" w:rsidRPr="002D47F3" w:rsidRDefault="00714558" w:rsidP="00776B39">
      <w:pPr>
        <w:pStyle w:val="ListParagraph"/>
        <w:numPr>
          <w:ilvl w:val="0"/>
          <w:numId w:val="17"/>
        </w:numPr>
        <w:spacing w:line="240" w:lineRule="auto"/>
        <w:rPr>
          <w:b/>
          <w:bCs/>
        </w:rPr>
      </w:pPr>
      <w:r w:rsidRPr="002D47F3">
        <w:rPr>
          <w:b/>
          <w:bCs/>
        </w:rPr>
        <w:t>Key Stakeholders</w:t>
      </w:r>
    </w:p>
    <w:p w14:paraId="5B20AD18" w14:textId="2742BFD5" w:rsidR="00FC37E4" w:rsidRPr="00FC37E4" w:rsidRDefault="00FC37E4" w:rsidP="00776B39">
      <w:pPr>
        <w:pStyle w:val="ListParagraph"/>
        <w:numPr>
          <w:ilvl w:val="0"/>
          <w:numId w:val="19"/>
        </w:numPr>
        <w:spacing w:line="240" w:lineRule="auto"/>
      </w:pPr>
      <w:r w:rsidRPr="002D47F3">
        <w:t>Schools.</w:t>
      </w:r>
    </w:p>
    <w:p w14:paraId="4914372C" w14:textId="287FE337" w:rsidR="00FC37E4" w:rsidRPr="002D47F3" w:rsidRDefault="00FC37E4" w:rsidP="00776B39">
      <w:pPr>
        <w:pStyle w:val="ListParagraph"/>
        <w:numPr>
          <w:ilvl w:val="0"/>
          <w:numId w:val="19"/>
        </w:numPr>
        <w:spacing w:line="240" w:lineRule="auto"/>
      </w:pPr>
      <w:r w:rsidRPr="002D47F3">
        <w:lastRenderedPageBreak/>
        <w:t>Government.</w:t>
      </w:r>
    </w:p>
    <w:p w14:paraId="0F9D4C4F" w14:textId="282FB3DF" w:rsidR="00FC37E4" w:rsidRPr="00FC37E4" w:rsidRDefault="00FC37E4" w:rsidP="00776B39">
      <w:pPr>
        <w:pStyle w:val="ListParagraph"/>
        <w:numPr>
          <w:ilvl w:val="0"/>
          <w:numId w:val="19"/>
        </w:numPr>
        <w:spacing w:line="240" w:lineRule="auto"/>
      </w:pPr>
      <w:r w:rsidRPr="00FC37E4">
        <w:t>Mental Health Professionals.</w:t>
      </w:r>
    </w:p>
    <w:p w14:paraId="04962EB6" w14:textId="347C6001" w:rsidR="00323A8D" w:rsidRPr="002D47F3" w:rsidRDefault="00FC37E4" w:rsidP="00776B39">
      <w:pPr>
        <w:pStyle w:val="ListParagraph"/>
        <w:numPr>
          <w:ilvl w:val="0"/>
          <w:numId w:val="19"/>
        </w:numPr>
        <w:spacing w:line="240" w:lineRule="auto"/>
      </w:pPr>
      <w:r w:rsidRPr="002D47F3">
        <w:t>Youth Support Groups</w:t>
      </w:r>
    </w:p>
    <w:p w14:paraId="3A5265E8" w14:textId="77777777" w:rsidR="00FC37E4" w:rsidRPr="002D47F3" w:rsidRDefault="00FC37E4" w:rsidP="00776B39">
      <w:pPr>
        <w:spacing w:line="240" w:lineRule="auto"/>
      </w:pPr>
    </w:p>
    <w:p w14:paraId="6FFFF87E" w14:textId="4810B7E8" w:rsidR="00A65D87" w:rsidRPr="002D47F3" w:rsidRDefault="00323A8D" w:rsidP="00776B39">
      <w:pPr>
        <w:pStyle w:val="ListParagraph"/>
        <w:numPr>
          <w:ilvl w:val="0"/>
          <w:numId w:val="17"/>
        </w:numPr>
        <w:spacing w:line="240" w:lineRule="auto"/>
        <w:rPr>
          <w:b/>
          <w:bCs/>
        </w:rPr>
      </w:pPr>
      <w:r w:rsidRPr="002D47F3">
        <w:rPr>
          <w:b/>
          <w:bCs/>
        </w:rPr>
        <w:t>Value to the Industry</w:t>
      </w:r>
    </w:p>
    <w:p w14:paraId="36C43FBB" w14:textId="77777777" w:rsidR="00214E3D" w:rsidRPr="00214E3D" w:rsidRDefault="00214E3D" w:rsidP="00776B39">
      <w:pPr>
        <w:spacing w:before="100" w:beforeAutospacing="1" w:after="100" w:afterAutospacing="1" w:line="240" w:lineRule="auto"/>
        <w:rPr>
          <w:rFonts w:eastAsia="Times New Roman" w:cs="Times New Roman"/>
          <w:kern w:val="0"/>
          <w:lang w:eastAsia="en-GB"/>
          <w14:ligatures w14:val="none"/>
        </w:rPr>
      </w:pPr>
      <w:r w:rsidRPr="00214E3D">
        <w:rPr>
          <w:rFonts w:eastAsia="Times New Roman" w:cs="Times New Roman"/>
          <w:kern w:val="0"/>
          <w:lang w:eastAsia="en-GB"/>
          <w14:ligatures w14:val="none"/>
        </w:rPr>
        <w:t>Insights from this analysis can:</w:t>
      </w:r>
    </w:p>
    <w:p w14:paraId="21CDB12B" w14:textId="77777777" w:rsidR="00214E3D" w:rsidRPr="00214E3D" w:rsidRDefault="00214E3D" w:rsidP="00776B39">
      <w:pPr>
        <w:numPr>
          <w:ilvl w:val="0"/>
          <w:numId w:val="22"/>
        </w:numPr>
        <w:spacing w:before="100" w:beforeAutospacing="1" w:after="100" w:afterAutospacing="1" w:line="240" w:lineRule="auto"/>
        <w:rPr>
          <w:rFonts w:eastAsia="Times New Roman" w:cs="Times New Roman"/>
          <w:kern w:val="0"/>
          <w:lang w:eastAsia="en-GB"/>
          <w14:ligatures w14:val="none"/>
        </w:rPr>
      </w:pPr>
      <w:r w:rsidRPr="00214E3D">
        <w:rPr>
          <w:rFonts w:eastAsia="Times New Roman" w:cs="Times New Roman"/>
          <w:kern w:val="0"/>
          <w:lang w:eastAsia="en-GB"/>
          <w14:ligatures w14:val="none"/>
        </w:rPr>
        <w:t>Help design more effective school intervention programs</w:t>
      </w:r>
    </w:p>
    <w:p w14:paraId="6B1275FE" w14:textId="77777777" w:rsidR="00214E3D" w:rsidRPr="00214E3D" w:rsidRDefault="00214E3D" w:rsidP="00776B39">
      <w:pPr>
        <w:numPr>
          <w:ilvl w:val="0"/>
          <w:numId w:val="22"/>
        </w:numPr>
        <w:spacing w:before="100" w:beforeAutospacing="1" w:after="100" w:afterAutospacing="1" w:line="240" w:lineRule="auto"/>
        <w:rPr>
          <w:rFonts w:eastAsia="Times New Roman" w:cs="Times New Roman"/>
          <w:kern w:val="0"/>
          <w:lang w:eastAsia="en-GB"/>
          <w14:ligatures w14:val="none"/>
        </w:rPr>
      </w:pPr>
      <w:r w:rsidRPr="00214E3D">
        <w:rPr>
          <w:rFonts w:eastAsia="Times New Roman" w:cs="Times New Roman"/>
          <w:kern w:val="0"/>
          <w:lang w:eastAsia="en-GB"/>
          <w14:ligatures w14:val="none"/>
        </w:rPr>
        <w:t>Optimize targeted outreach for at-risk age groups</w:t>
      </w:r>
    </w:p>
    <w:p w14:paraId="3E457408" w14:textId="77777777" w:rsidR="00214E3D" w:rsidRPr="00214E3D" w:rsidRDefault="00214E3D" w:rsidP="00776B39">
      <w:pPr>
        <w:numPr>
          <w:ilvl w:val="0"/>
          <w:numId w:val="22"/>
        </w:numPr>
        <w:spacing w:before="100" w:beforeAutospacing="1" w:after="100" w:afterAutospacing="1" w:line="240" w:lineRule="auto"/>
        <w:rPr>
          <w:rFonts w:eastAsia="Times New Roman" w:cs="Times New Roman"/>
          <w:kern w:val="0"/>
          <w:lang w:eastAsia="en-GB"/>
          <w14:ligatures w14:val="none"/>
        </w:rPr>
      </w:pPr>
      <w:r w:rsidRPr="00214E3D">
        <w:rPr>
          <w:rFonts w:eastAsia="Times New Roman" w:cs="Times New Roman"/>
          <w:kern w:val="0"/>
          <w:lang w:eastAsia="en-GB"/>
          <w14:ligatures w14:val="none"/>
        </w:rPr>
        <w:t>Improve resource allocation for mental health services</w:t>
      </w:r>
    </w:p>
    <w:p w14:paraId="098119F9" w14:textId="77777777" w:rsidR="00214E3D" w:rsidRPr="00214E3D" w:rsidRDefault="00214E3D" w:rsidP="00776B39">
      <w:pPr>
        <w:numPr>
          <w:ilvl w:val="0"/>
          <w:numId w:val="22"/>
        </w:numPr>
        <w:spacing w:before="100" w:beforeAutospacing="1" w:after="100" w:afterAutospacing="1" w:line="240" w:lineRule="auto"/>
        <w:rPr>
          <w:rFonts w:eastAsia="Times New Roman" w:cs="Times New Roman"/>
          <w:kern w:val="0"/>
          <w:lang w:eastAsia="en-GB"/>
          <w14:ligatures w14:val="none"/>
        </w:rPr>
      </w:pPr>
      <w:r w:rsidRPr="00214E3D">
        <w:rPr>
          <w:rFonts w:eastAsia="Times New Roman" w:cs="Times New Roman"/>
          <w:kern w:val="0"/>
          <w:lang w:eastAsia="en-GB"/>
          <w14:ligatures w14:val="none"/>
        </w:rPr>
        <w:t>Influence policy decisions around media regulation, youth education, and family support systems</w:t>
      </w:r>
    </w:p>
    <w:p w14:paraId="31D5BF08" w14:textId="0439C196" w:rsidR="00323A8D" w:rsidRPr="002D47F3" w:rsidRDefault="00323A8D" w:rsidP="00776B39">
      <w:pPr>
        <w:pStyle w:val="ListParagraph"/>
        <w:spacing w:line="240" w:lineRule="auto"/>
        <w:ind w:left="1440"/>
      </w:pPr>
    </w:p>
    <w:p w14:paraId="26F972E3" w14:textId="77777777" w:rsidR="00951AE6" w:rsidRPr="002D47F3" w:rsidRDefault="00951AE6" w:rsidP="00776B39">
      <w:pPr>
        <w:spacing w:line="240" w:lineRule="auto"/>
      </w:pPr>
    </w:p>
    <w:p w14:paraId="66670409" w14:textId="3C57B4C2" w:rsidR="00AD4A25" w:rsidRPr="002D47F3" w:rsidRDefault="009A521B" w:rsidP="00776B39">
      <w:pPr>
        <w:spacing w:line="240" w:lineRule="auto"/>
        <w:rPr>
          <w:b/>
          <w:bCs/>
        </w:rPr>
      </w:pPr>
      <w:r w:rsidRPr="002D47F3">
        <w:rPr>
          <w:b/>
          <w:bCs/>
        </w:rPr>
        <w:t>Pre-Analysis</w:t>
      </w:r>
    </w:p>
    <w:p w14:paraId="0B068937" w14:textId="6C10AE7C" w:rsidR="00EE17DE" w:rsidRPr="002D47F3" w:rsidRDefault="007561E2" w:rsidP="00776B39">
      <w:pPr>
        <w:pStyle w:val="ListParagraph"/>
        <w:spacing w:line="240" w:lineRule="auto"/>
        <w:ind w:left="1440"/>
        <w:rPr>
          <w:b/>
          <w:bCs/>
        </w:rPr>
      </w:pPr>
      <w:r w:rsidRPr="002D47F3">
        <w:rPr>
          <w:b/>
          <w:bCs/>
        </w:rPr>
        <w:t>Potential Analysis:</w:t>
      </w:r>
    </w:p>
    <w:p w14:paraId="34AA7606" w14:textId="77777777" w:rsidR="00DC09FC" w:rsidRPr="002D47F3" w:rsidRDefault="00DC09FC" w:rsidP="00776B39">
      <w:pPr>
        <w:spacing w:line="240" w:lineRule="auto"/>
        <w:ind w:left="1080"/>
      </w:pPr>
      <w:r w:rsidRPr="002D47F3">
        <w:t>1. What age group has the highest smoking prevalence?</w:t>
      </w:r>
    </w:p>
    <w:p w14:paraId="0A7E92B5" w14:textId="77777777" w:rsidR="00DC09FC" w:rsidRPr="002D47F3" w:rsidRDefault="00DC09FC" w:rsidP="00776B39">
      <w:pPr>
        <w:spacing w:line="240" w:lineRule="auto"/>
        <w:ind w:left="1080"/>
      </w:pPr>
      <w:r w:rsidRPr="002D47F3">
        <w:t>2. Is there a correlation between mental health and smoking /drug use?</w:t>
      </w:r>
    </w:p>
    <w:p w14:paraId="34CEEB04" w14:textId="77777777" w:rsidR="00DC09FC" w:rsidRPr="002D47F3" w:rsidRDefault="00DC09FC" w:rsidP="00776B39">
      <w:pPr>
        <w:spacing w:line="240" w:lineRule="auto"/>
        <w:ind w:left="1080"/>
      </w:pPr>
      <w:r w:rsidRPr="002D47F3">
        <w:t>3. How does socioeconomic status impact smoking and drug experimentation?</w:t>
      </w:r>
    </w:p>
    <w:p w14:paraId="011ADA50" w14:textId="77777777" w:rsidR="00DC09FC" w:rsidRPr="002D47F3" w:rsidRDefault="00DC09FC" w:rsidP="00776B39">
      <w:pPr>
        <w:spacing w:line="240" w:lineRule="auto"/>
        <w:ind w:left="1080"/>
      </w:pPr>
      <w:r w:rsidRPr="002D47F3">
        <w:t>4. Does peer influence significantly affect smoking behaviour?</w:t>
      </w:r>
    </w:p>
    <w:p w14:paraId="7E35EB14" w14:textId="77777777" w:rsidR="00DC09FC" w:rsidRPr="002D47F3" w:rsidRDefault="00DC09FC" w:rsidP="00776B39">
      <w:pPr>
        <w:spacing w:line="240" w:lineRule="auto"/>
        <w:ind w:left="1080"/>
      </w:pPr>
      <w:r w:rsidRPr="002D47F3">
        <w:t>5. Do school programs reduce drug experimentation rates?</w:t>
      </w:r>
    </w:p>
    <w:p w14:paraId="75884B0F" w14:textId="1C6A272B" w:rsidR="00DC09FC" w:rsidRPr="002D47F3" w:rsidRDefault="00DC09FC" w:rsidP="00776B39">
      <w:pPr>
        <w:spacing w:line="240" w:lineRule="auto"/>
        <w:ind w:left="1080"/>
      </w:pPr>
      <w:r w:rsidRPr="002D47F3">
        <w:t xml:space="preserve">6. Is access to </w:t>
      </w:r>
      <w:r w:rsidRPr="002D47F3">
        <w:t>counselling</w:t>
      </w:r>
      <w:r w:rsidRPr="002D47F3">
        <w:t xml:space="preserve"> associated with better mental health outcomes?</w:t>
      </w:r>
    </w:p>
    <w:p w14:paraId="08B4804E" w14:textId="77777777" w:rsidR="00DC09FC" w:rsidRPr="002D47F3" w:rsidRDefault="00DC09FC" w:rsidP="00776B39">
      <w:pPr>
        <w:spacing w:line="240" w:lineRule="auto"/>
        <w:ind w:left="1080"/>
      </w:pPr>
      <w:r w:rsidRPr="002D47F3">
        <w:t>7. Are there gender differences in smoking and mental health trends?</w:t>
      </w:r>
    </w:p>
    <w:p w14:paraId="0FAADB93" w14:textId="77777777" w:rsidR="00DC09FC" w:rsidRPr="002D47F3" w:rsidRDefault="00DC09FC" w:rsidP="00776B39">
      <w:pPr>
        <w:spacing w:line="240" w:lineRule="auto"/>
        <w:ind w:left="1080"/>
      </w:pPr>
      <w:r w:rsidRPr="002D47F3">
        <w:t>8. How does the media influence relate to drug experimentation or smoking?</w:t>
      </w:r>
    </w:p>
    <w:p w14:paraId="28B64276" w14:textId="77777777" w:rsidR="00DC09FC" w:rsidRPr="002D47F3" w:rsidRDefault="00DC09FC" w:rsidP="00776B39">
      <w:pPr>
        <w:spacing w:line="240" w:lineRule="auto"/>
        <w:ind w:left="1080"/>
      </w:pPr>
      <w:r w:rsidRPr="002D47F3">
        <w:t>9. Do community support systems reduce smoking prevalence?</w:t>
      </w:r>
    </w:p>
    <w:p w14:paraId="11129E53" w14:textId="77777777" w:rsidR="00187621" w:rsidRPr="002D47F3" w:rsidRDefault="00187621" w:rsidP="00776B39">
      <w:pPr>
        <w:spacing w:line="240" w:lineRule="auto"/>
      </w:pPr>
    </w:p>
    <w:p w14:paraId="655659FF" w14:textId="57CD54F8" w:rsidR="00E72D38" w:rsidRPr="002D47F3" w:rsidRDefault="00187621" w:rsidP="00776B39">
      <w:pPr>
        <w:pStyle w:val="ListParagraph"/>
        <w:spacing w:line="240" w:lineRule="auto"/>
        <w:ind w:left="1440"/>
        <w:rPr>
          <w:b/>
          <w:bCs/>
        </w:rPr>
      </w:pPr>
      <w:r w:rsidRPr="002D47F3">
        <w:rPr>
          <w:b/>
          <w:bCs/>
        </w:rPr>
        <w:t>Potential Insights</w:t>
      </w:r>
    </w:p>
    <w:p w14:paraId="77AEDFCF" w14:textId="77777777" w:rsidR="00812633" w:rsidRPr="00812633" w:rsidRDefault="00812633" w:rsidP="00776B39">
      <w:pPr>
        <w:spacing w:line="240" w:lineRule="auto"/>
      </w:pPr>
      <w:r w:rsidRPr="00812633">
        <w:t>1. Anti-smoking campaigns should be targeted more effectively by age.</w:t>
      </w:r>
    </w:p>
    <w:p w14:paraId="0ACD0FD3" w14:textId="77777777" w:rsidR="00812633" w:rsidRPr="00812633" w:rsidRDefault="00812633" w:rsidP="00776B39">
      <w:pPr>
        <w:spacing w:line="240" w:lineRule="auto"/>
      </w:pPr>
      <w:r w:rsidRPr="00812633">
        <w:t>2. Poor mental health is likely to drive higher substance use, so a strong correlation could support mental health programs as a strategy to reduce substance abuse.</w:t>
      </w:r>
    </w:p>
    <w:p w14:paraId="77E4BC6F" w14:textId="605B3158" w:rsidR="00812633" w:rsidRPr="00812633" w:rsidRDefault="00812633" w:rsidP="00776B39">
      <w:pPr>
        <w:spacing w:line="240" w:lineRule="auto"/>
      </w:pPr>
      <w:r w:rsidRPr="00812633">
        <w:t xml:space="preserve">3. Youth in underprivileged areas may turn to </w:t>
      </w:r>
      <w:r w:rsidRPr="002D47F3">
        <w:t>smoking or</w:t>
      </w:r>
      <w:r w:rsidRPr="00812633">
        <w:t xml:space="preserve"> drugs as coping mechanisms or due to lack of education/support.</w:t>
      </w:r>
    </w:p>
    <w:p w14:paraId="1D1DE3AA" w14:textId="6F0E74FA" w:rsidR="00812633" w:rsidRPr="00812633" w:rsidRDefault="00812633" w:rsidP="00776B39">
      <w:pPr>
        <w:spacing w:line="240" w:lineRule="auto"/>
      </w:pPr>
      <w:r w:rsidRPr="00812633">
        <w:t xml:space="preserve">4. High peer influence could justify implementing group </w:t>
      </w:r>
      <w:r w:rsidRPr="002D47F3">
        <w:t>counselling</w:t>
      </w:r>
      <w:r w:rsidRPr="00812633">
        <w:t xml:space="preserve"> approaches.</w:t>
      </w:r>
    </w:p>
    <w:p w14:paraId="1EB3B59F" w14:textId="77777777" w:rsidR="00812633" w:rsidRPr="00812633" w:rsidRDefault="00812633" w:rsidP="00776B39">
      <w:pPr>
        <w:spacing w:line="240" w:lineRule="auto"/>
      </w:pPr>
      <w:r w:rsidRPr="00812633">
        <w:lastRenderedPageBreak/>
        <w:t>5. Schools with strong education programs could see a measurable drop in experimentation rates.</w:t>
      </w:r>
    </w:p>
    <w:p w14:paraId="6F4B4576" w14:textId="6FD3F917" w:rsidR="00812633" w:rsidRPr="00812633" w:rsidRDefault="00812633" w:rsidP="00776B39">
      <w:pPr>
        <w:spacing w:line="240" w:lineRule="auto"/>
      </w:pPr>
      <w:r w:rsidRPr="00812633">
        <w:t xml:space="preserve">6. Youths with </w:t>
      </w:r>
      <w:r w:rsidRPr="002D47F3">
        <w:t>counselling</w:t>
      </w:r>
      <w:r w:rsidRPr="00812633">
        <w:t xml:space="preserve"> access may better manage stress and avoid harmful habits like smoking or drugs.</w:t>
      </w:r>
    </w:p>
    <w:p w14:paraId="35B4C29E" w14:textId="77777777" w:rsidR="00812633" w:rsidRPr="00812633" w:rsidRDefault="00812633" w:rsidP="00776B39">
      <w:pPr>
        <w:spacing w:line="240" w:lineRule="auto"/>
      </w:pPr>
      <w:r w:rsidRPr="00812633">
        <w:t>7. Frequent exposure to smoking or drug use in media may normalize or encourage experimentation.</w:t>
      </w:r>
    </w:p>
    <w:p w14:paraId="4E5A962D" w14:textId="5F12B81D" w:rsidR="00386C14" w:rsidRPr="002D47F3" w:rsidRDefault="00812633" w:rsidP="00776B39">
      <w:pPr>
        <w:spacing w:line="240" w:lineRule="auto"/>
      </w:pPr>
      <w:r w:rsidRPr="002D47F3">
        <w:t xml:space="preserve">8. A combination of school programs, family support, and </w:t>
      </w:r>
      <w:r w:rsidRPr="002D47F3">
        <w:t>counselling</w:t>
      </w:r>
      <w:r w:rsidRPr="002D47F3">
        <w:t xml:space="preserve"> may be the most effective solution</w:t>
      </w:r>
    </w:p>
    <w:p w14:paraId="7ED19893" w14:textId="2F554E39" w:rsidR="00386C14" w:rsidRPr="002D47F3" w:rsidRDefault="00386C14" w:rsidP="00776B39">
      <w:pPr>
        <w:spacing w:line="240" w:lineRule="auto"/>
        <w:rPr>
          <w:b/>
          <w:bCs/>
        </w:rPr>
      </w:pPr>
      <w:r w:rsidRPr="002D47F3">
        <w:rPr>
          <w:b/>
          <w:bCs/>
        </w:rPr>
        <w:t>In-Analysis</w:t>
      </w:r>
    </w:p>
    <w:p w14:paraId="6AF69C2B" w14:textId="64B5E6DE" w:rsidR="00386C14" w:rsidRPr="002D47F3" w:rsidRDefault="00C71F11" w:rsidP="00776B39">
      <w:pPr>
        <w:pStyle w:val="ListParagraph"/>
        <w:numPr>
          <w:ilvl w:val="0"/>
          <w:numId w:val="23"/>
        </w:numPr>
        <w:spacing w:line="240" w:lineRule="auto"/>
        <w:rPr>
          <w:b/>
          <w:bCs/>
        </w:rPr>
      </w:pPr>
      <w:r w:rsidRPr="002D47F3">
        <w:rPr>
          <w:b/>
          <w:bCs/>
        </w:rPr>
        <w:t>Unconfirmed Insights</w:t>
      </w:r>
      <w:r w:rsidR="00434FAD" w:rsidRPr="002D47F3">
        <w:rPr>
          <w:b/>
          <w:bCs/>
        </w:rPr>
        <w:t>:</w:t>
      </w:r>
    </w:p>
    <w:p w14:paraId="274D2C56" w14:textId="77777777" w:rsidR="00F754A2" w:rsidRPr="002D47F3" w:rsidRDefault="00F754A2" w:rsidP="00776B39">
      <w:pPr>
        <w:spacing w:line="240" w:lineRule="auto"/>
        <w:ind w:left="1080"/>
      </w:pPr>
      <w:r w:rsidRPr="002D47F3">
        <w:t>1. The average mental health scores dropped to the lowest in 2022 (5.41) before a sharp increase to 5.52 in 2023, scores dipped again slightly to 5.47 in 2024.</w:t>
      </w:r>
    </w:p>
    <w:p w14:paraId="56AA9FFB" w14:textId="77777777" w:rsidR="00F754A2" w:rsidRPr="002D47F3" w:rsidRDefault="00F754A2" w:rsidP="00776B39">
      <w:pPr>
        <w:spacing w:line="240" w:lineRule="auto"/>
        <w:ind w:left="1080"/>
      </w:pPr>
      <w:r w:rsidRPr="002D47F3">
        <w:t>2. The 0-14 age group has the highest average smoking prevalence at 28.087, which is concerning given their young age.</w:t>
      </w:r>
    </w:p>
    <w:p w14:paraId="6AC8379F" w14:textId="77777777" w:rsidR="00F754A2" w:rsidRPr="002D47F3" w:rsidRDefault="00F754A2" w:rsidP="00776B39">
      <w:pPr>
        <w:spacing w:line="240" w:lineRule="auto"/>
        <w:ind w:left="1080"/>
      </w:pPr>
      <w:r w:rsidRPr="002D47F3">
        <w:t>3. Ages 60-69 show the lowest average smoking prevalence (27.012).</w:t>
      </w:r>
    </w:p>
    <w:p w14:paraId="1E0ACDFE" w14:textId="77777777" w:rsidR="00F754A2" w:rsidRPr="002D47F3" w:rsidRDefault="00F754A2" w:rsidP="00776B39">
      <w:pPr>
        <w:spacing w:line="240" w:lineRule="auto"/>
        <w:ind w:left="1080"/>
      </w:pPr>
      <w:r w:rsidRPr="002D47F3">
        <w:t>4. Individuals from the low socioeconomic group have the highest average drug experimentation rate at 40.33.</w:t>
      </w:r>
    </w:p>
    <w:p w14:paraId="1F8D4D3C" w14:textId="77777777" w:rsidR="00F754A2" w:rsidRPr="002D47F3" w:rsidRDefault="00F754A2" w:rsidP="00776B39">
      <w:pPr>
        <w:spacing w:line="240" w:lineRule="auto"/>
        <w:ind w:left="1080"/>
      </w:pPr>
      <w:r w:rsidRPr="002D47F3">
        <w:t>5. Respondents who selected "Both" genders have the highest average drug experimentation at 40.48.</w:t>
      </w:r>
    </w:p>
    <w:p w14:paraId="0AD8C6F9" w14:textId="77777777" w:rsidR="00F754A2" w:rsidRPr="002D47F3" w:rsidRDefault="00F754A2" w:rsidP="00776B39">
      <w:pPr>
        <w:spacing w:line="240" w:lineRule="auto"/>
        <w:ind w:left="1080"/>
      </w:pPr>
      <w:r w:rsidRPr="002D47F3">
        <w:t>6. Individuals aged 60-69 reported the highest media influence (5.69), followed by 0-14 (5.60)</w:t>
      </w:r>
    </w:p>
    <w:p w14:paraId="3955FF92" w14:textId="366473F4" w:rsidR="00F754A2" w:rsidRPr="002D47F3" w:rsidRDefault="00F754A2" w:rsidP="00776B39">
      <w:pPr>
        <w:spacing w:line="240" w:lineRule="auto"/>
        <w:ind w:left="1080"/>
      </w:pPr>
      <w:r w:rsidRPr="002D47F3">
        <w:t xml:space="preserve">7. The age group 20-24 has the highest access to </w:t>
      </w:r>
      <w:r w:rsidR="008A63CB" w:rsidRPr="002D47F3">
        <w:t>counselling</w:t>
      </w:r>
      <w:r w:rsidRPr="002D47F3">
        <w:t xml:space="preserve"> (1,045 individuals), followed closely by age group 30-39 (1,021 individuals) and 60-69 (1,020 individuals).</w:t>
      </w:r>
    </w:p>
    <w:p w14:paraId="333A57F6" w14:textId="77777777" w:rsidR="00F754A2" w:rsidRPr="002D47F3" w:rsidRDefault="00F754A2" w:rsidP="00776B39">
      <w:pPr>
        <w:spacing w:line="240" w:lineRule="auto"/>
        <w:ind w:left="1080"/>
      </w:pPr>
      <w:r w:rsidRPr="002D47F3">
        <w:t>8. Males reported the highest average level of parental supervision at 5.57.</w:t>
      </w:r>
    </w:p>
    <w:p w14:paraId="2D9DF79C" w14:textId="77777777" w:rsidR="002B1486" w:rsidRPr="002D47F3" w:rsidRDefault="002B1486" w:rsidP="00776B39">
      <w:pPr>
        <w:pStyle w:val="ListParagraph"/>
        <w:spacing w:line="240" w:lineRule="auto"/>
        <w:ind w:left="1440"/>
      </w:pPr>
    </w:p>
    <w:p w14:paraId="4D0D90E6" w14:textId="24E039F0" w:rsidR="00434FAD" w:rsidRPr="002D47F3" w:rsidRDefault="002B1486" w:rsidP="00776B39">
      <w:pPr>
        <w:pStyle w:val="ListParagraph"/>
        <w:numPr>
          <w:ilvl w:val="0"/>
          <w:numId w:val="23"/>
        </w:numPr>
        <w:spacing w:line="240" w:lineRule="auto"/>
      </w:pPr>
      <w:r w:rsidRPr="002D47F3">
        <w:t>Preliminary Recommendations:</w:t>
      </w:r>
    </w:p>
    <w:p w14:paraId="16F1B7C3" w14:textId="77777777" w:rsidR="001979FE" w:rsidRPr="002D47F3" w:rsidRDefault="001979FE" w:rsidP="00776B39">
      <w:pPr>
        <w:spacing w:line="240" w:lineRule="auto"/>
        <w:ind w:left="360"/>
      </w:pPr>
      <w:r w:rsidRPr="002D47F3">
        <w:t>1. The low scores in 2021-2022 may reflect lingering pandemic effects, with the 2023 peak possibly showing early signs of recovery or support interventions.</w:t>
      </w:r>
    </w:p>
    <w:p w14:paraId="52236478" w14:textId="77777777" w:rsidR="001979FE" w:rsidRPr="002D47F3" w:rsidRDefault="001979FE" w:rsidP="00776B39">
      <w:pPr>
        <w:spacing w:line="240" w:lineRule="auto"/>
        <w:ind w:left="360"/>
      </w:pPr>
      <w:r w:rsidRPr="002D47F3">
        <w:t>2. The high value for the 0-14 group may suggest early exposure or experimentation, indicating a need for stronger youth focused prevention programs.</w:t>
      </w:r>
    </w:p>
    <w:p w14:paraId="32D22503" w14:textId="77777777" w:rsidR="001979FE" w:rsidRPr="002D47F3" w:rsidRDefault="001979FE" w:rsidP="00776B39">
      <w:pPr>
        <w:spacing w:line="240" w:lineRule="auto"/>
        <w:ind w:left="360"/>
      </w:pPr>
      <w:r w:rsidRPr="002D47F3">
        <w:t>3. While the gap is small, individuals in the Low socioeconomic group may face more environmental stressors, leading to slightly high drug experimentation.</w:t>
      </w:r>
    </w:p>
    <w:p w14:paraId="42E2C0A0" w14:textId="77777777" w:rsidR="001979FE" w:rsidRPr="002D47F3" w:rsidRDefault="001979FE" w:rsidP="00776B39">
      <w:pPr>
        <w:spacing w:line="240" w:lineRule="auto"/>
        <w:ind w:left="360"/>
      </w:pPr>
      <w:r w:rsidRPr="002D47F3">
        <w:t>4. The small difference between male (39.81) and female (40.15) rates implies that drug experimentation is not strongly gender specific, supporting the need for inclusive education programs.</w:t>
      </w:r>
    </w:p>
    <w:p w14:paraId="1004A07B" w14:textId="77777777" w:rsidR="001979FE" w:rsidRPr="002D47F3" w:rsidRDefault="001979FE" w:rsidP="00776B39">
      <w:pPr>
        <w:spacing w:line="240" w:lineRule="auto"/>
        <w:ind w:left="360"/>
      </w:pPr>
      <w:r w:rsidRPr="002D47F3">
        <w:lastRenderedPageBreak/>
        <w:t>5. The strong media influence on the 60-69 age group suggests they may rely more heavily on traditional media like the Newspaper, impacting behaviours significantly.</w:t>
      </w:r>
    </w:p>
    <w:p w14:paraId="1C8D46CF" w14:textId="5C5BCA17" w:rsidR="001979FE" w:rsidRPr="002D47F3" w:rsidRDefault="001979FE" w:rsidP="00776B39">
      <w:pPr>
        <w:spacing w:line="240" w:lineRule="auto"/>
        <w:ind w:left="360"/>
      </w:pPr>
      <w:r w:rsidRPr="002D47F3">
        <w:t xml:space="preserve">6. Higher </w:t>
      </w:r>
      <w:r w:rsidRPr="002D47F3">
        <w:t>counselling</w:t>
      </w:r>
      <w:r w:rsidRPr="002D47F3">
        <w:t xml:space="preserve"> access in the 20-24 age group suggests increased mental health awareness, possibly through universities.</w:t>
      </w:r>
    </w:p>
    <w:p w14:paraId="72E2288C" w14:textId="5DCB542C" w:rsidR="001979FE" w:rsidRPr="002D47F3" w:rsidRDefault="001979FE" w:rsidP="00776B39">
      <w:pPr>
        <w:spacing w:line="240" w:lineRule="auto"/>
        <w:ind w:left="360"/>
      </w:pPr>
      <w:r w:rsidRPr="002D47F3">
        <w:t xml:space="preserve">7. The slightly higher supervision for males may </w:t>
      </w:r>
      <w:r w:rsidRPr="002D47F3">
        <w:t>reflect</w:t>
      </w:r>
      <w:r w:rsidRPr="002D47F3">
        <w:t xml:space="preserve"> protective parenting styles possibly suggesting parents monitor boys' behaviour more closely</w:t>
      </w:r>
    </w:p>
    <w:p w14:paraId="05647B9F" w14:textId="77777777" w:rsidR="008E01B2" w:rsidRPr="002D47F3" w:rsidRDefault="008E01B2" w:rsidP="00776B39">
      <w:pPr>
        <w:pStyle w:val="ListParagraph"/>
        <w:spacing w:line="240" w:lineRule="auto"/>
        <w:ind w:left="1440"/>
        <w:rPr>
          <w:b/>
          <w:bCs/>
        </w:rPr>
      </w:pPr>
    </w:p>
    <w:p w14:paraId="117D8654" w14:textId="1797057B" w:rsidR="008E01B2" w:rsidRPr="002D47F3" w:rsidRDefault="005125D1" w:rsidP="00776B39">
      <w:pPr>
        <w:pStyle w:val="ListParagraph"/>
        <w:numPr>
          <w:ilvl w:val="0"/>
          <w:numId w:val="23"/>
        </w:numPr>
        <w:spacing w:line="240" w:lineRule="auto"/>
        <w:rPr>
          <w:b/>
          <w:bCs/>
        </w:rPr>
      </w:pPr>
      <w:r w:rsidRPr="002D47F3">
        <w:rPr>
          <w:b/>
          <w:bCs/>
        </w:rPr>
        <w:t>Analysis Technique</w:t>
      </w:r>
      <w:r w:rsidR="00A033FB" w:rsidRPr="002D47F3">
        <w:rPr>
          <w:b/>
          <w:bCs/>
        </w:rPr>
        <w:t xml:space="preserve"> used in Excel:</w:t>
      </w:r>
    </w:p>
    <w:p w14:paraId="24CB5142" w14:textId="77777777" w:rsidR="009B68DE" w:rsidRPr="002D47F3" w:rsidRDefault="009B68DE" w:rsidP="00776B39">
      <w:pPr>
        <w:pStyle w:val="ListParagraph"/>
        <w:numPr>
          <w:ilvl w:val="0"/>
          <w:numId w:val="39"/>
        </w:numPr>
        <w:spacing w:before="100" w:beforeAutospacing="1" w:after="100" w:afterAutospacing="1" w:line="240" w:lineRule="auto"/>
        <w:rPr>
          <w:rFonts w:eastAsia="Times New Roman" w:cs="Times New Roman"/>
          <w:kern w:val="0"/>
          <w:lang w:eastAsia="en-GB"/>
          <w14:ligatures w14:val="none"/>
        </w:rPr>
      </w:pPr>
      <w:r w:rsidRPr="002D47F3">
        <w:rPr>
          <w:rFonts w:eastAsia="Times New Roman" w:cs="Times New Roman"/>
          <w:b/>
          <w:bCs/>
          <w:kern w:val="0"/>
          <w:lang w:eastAsia="en-GB"/>
          <w14:ligatures w14:val="none"/>
        </w:rPr>
        <w:t>Pivot Tables</w:t>
      </w:r>
      <w:r w:rsidRPr="002D47F3">
        <w:rPr>
          <w:rFonts w:eastAsia="Times New Roman" w:cs="Times New Roman"/>
          <w:kern w:val="0"/>
          <w:lang w:eastAsia="en-GB"/>
          <w14:ligatures w14:val="none"/>
        </w:rPr>
        <w:t>: For summarizing metrics by gender, age group, and socioeconomic status.</w:t>
      </w:r>
    </w:p>
    <w:p w14:paraId="26F90B1F" w14:textId="20585C76" w:rsidR="009B68DE" w:rsidRPr="002D47F3" w:rsidRDefault="009B68DE" w:rsidP="00776B39">
      <w:pPr>
        <w:pStyle w:val="ListParagraph"/>
        <w:numPr>
          <w:ilvl w:val="0"/>
          <w:numId w:val="39"/>
        </w:numPr>
        <w:spacing w:before="100" w:beforeAutospacing="1" w:after="100" w:afterAutospacing="1" w:line="240" w:lineRule="auto"/>
        <w:rPr>
          <w:rFonts w:eastAsia="Times New Roman" w:cs="Times New Roman"/>
          <w:kern w:val="0"/>
          <w:lang w:eastAsia="en-GB"/>
          <w14:ligatures w14:val="none"/>
        </w:rPr>
      </w:pPr>
      <w:r w:rsidRPr="002D47F3">
        <w:rPr>
          <w:rFonts w:eastAsia="Times New Roman" w:cs="Times New Roman"/>
          <w:b/>
          <w:bCs/>
          <w:kern w:val="0"/>
          <w:lang w:eastAsia="en-GB"/>
          <w14:ligatures w14:val="none"/>
        </w:rPr>
        <w:t>VLOOKUP &amp; INDEX-MATCH</w:t>
      </w:r>
      <w:r w:rsidRPr="002D47F3">
        <w:rPr>
          <w:rFonts w:eastAsia="Times New Roman" w:cs="Times New Roman"/>
          <w:kern w:val="0"/>
          <w:lang w:eastAsia="en-GB"/>
          <w14:ligatures w14:val="none"/>
        </w:rPr>
        <w:t xml:space="preserve">: To cross-reference variables across sheets (e.g., matching </w:t>
      </w:r>
      <w:r w:rsidRPr="002D47F3">
        <w:rPr>
          <w:rFonts w:eastAsia="Times New Roman" w:cs="Times New Roman"/>
          <w:kern w:val="0"/>
          <w:lang w:eastAsia="en-GB"/>
          <w14:ligatures w14:val="none"/>
        </w:rPr>
        <w:t>counselling</w:t>
      </w:r>
      <w:r w:rsidRPr="002D47F3">
        <w:rPr>
          <w:rFonts w:eastAsia="Times New Roman" w:cs="Times New Roman"/>
          <w:kern w:val="0"/>
          <w:lang w:eastAsia="en-GB"/>
          <w14:ligatures w14:val="none"/>
        </w:rPr>
        <w:t xml:space="preserve"> access with mental health scores).</w:t>
      </w:r>
    </w:p>
    <w:p w14:paraId="3B2C7C4E" w14:textId="77777777" w:rsidR="009B68DE" w:rsidRPr="002D47F3" w:rsidRDefault="009B68DE" w:rsidP="00776B39">
      <w:pPr>
        <w:pStyle w:val="ListParagraph"/>
        <w:numPr>
          <w:ilvl w:val="0"/>
          <w:numId w:val="39"/>
        </w:numPr>
        <w:spacing w:before="100" w:beforeAutospacing="1" w:after="100" w:afterAutospacing="1" w:line="240" w:lineRule="auto"/>
        <w:rPr>
          <w:rFonts w:eastAsia="Times New Roman" w:cs="Times New Roman"/>
          <w:kern w:val="0"/>
          <w:lang w:eastAsia="en-GB"/>
          <w14:ligatures w14:val="none"/>
        </w:rPr>
      </w:pPr>
      <w:r w:rsidRPr="002D47F3">
        <w:rPr>
          <w:rFonts w:eastAsia="Times New Roman" w:cs="Times New Roman"/>
          <w:b/>
          <w:bCs/>
          <w:kern w:val="0"/>
          <w:lang w:eastAsia="en-GB"/>
          <w14:ligatures w14:val="none"/>
        </w:rPr>
        <w:t>AVERAGEIFS, COUNTIFS, and IF Statements</w:t>
      </w:r>
      <w:r w:rsidRPr="002D47F3">
        <w:rPr>
          <w:rFonts w:eastAsia="Times New Roman" w:cs="Times New Roman"/>
          <w:kern w:val="0"/>
          <w:lang w:eastAsia="en-GB"/>
          <w14:ligatures w14:val="none"/>
        </w:rPr>
        <w:t>: To calculate trends within specific subgroups.</w:t>
      </w:r>
    </w:p>
    <w:p w14:paraId="34A98039" w14:textId="42F7DFAA" w:rsidR="009B68DE" w:rsidRPr="002D47F3" w:rsidRDefault="009B68DE" w:rsidP="00776B39">
      <w:pPr>
        <w:pStyle w:val="ListParagraph"/>
        <w:numPr>
          <w:ilvl w:val="0"/>
          <w:numId w:val="39"/>
        </w:numPr>
        <w:spacing w:before="100" w:beforeAutospacing="1" w:after="100" w:afterAutospacing="1" w:line="240" w:lineRule="auto"/>
        <w:rPr>
          <w:rFonts w:eastAsia="Times New Roman" w:cs="Times New Roman"/>
          <w:kern w:val="0"/>
          <w:lang w:eastAsia="en-GB"/>
          <w14:ligatures w14:val="none"/>
        </w:rPr>
      </w:pPr>
      <w:r w:rsidRPr="002D47F3">
        <w:rPr>
          <w:rFonts w:eastAsia="Times New Roman" w:cs="Times New Roman"/>
          <w:b/>
          <w:bCs/>
          <w:kern w:val="0"/>
          <w:lang w:eastAsia="en-GB"/>
          <w14:ligatures w14:val="none"/>
        </w:rPr>
        <w:t>Conditional Formatting</w:t>
      </w:r>
      <w:r w:rsidRPr="002D47F3">
        <w:rPr>
          <w:rFonts w:eastAsia="Times New Roman" w:cs="Times New Roman"/>
          <w:kern w:val="0"/>
          <w:lang w:eastAsia="en-GB"/>
          <w14:ligatures w14:val="none"/>
        </w:rPr>
        <w:t xml:space="preserve">: To highlight critical thresholds (e.g., low mental health scores or </w:t>
      </w:r>
      <w:r w:rsidRPr="002D47F3">
        <w:rPr>
          <w:rFonts w:eastAsia="Times New Roman" w:cs="Times New Roman"/>
          <w:kern w:val="0"/>
          <w:lang w:eastAsia="en-GB"/>
          <w14:ligatures w14:val="none"/>
        </w:rPr>
        <w:t>high-risk</w:t>
      </w:r>
      <w:r w:rsidRPr="002D47F3">
        <w:rPr>
          <w:rFonts w:eastAsia="Times New Roman" w:cs="Times New Roman"/>
          <w:kern w:val="0"/>
          <w:lang w:eastAsia="en-GB"/>
          <w14:ligatures w14:val="none"/>
        </w:rPr>
        <w:t xml:space="preserve"> </w:t>
      </w:r>
      <w:r w:rsidRPr="002D47F3">
        <w:rPr>
          <w:rFonts w:eastAsia="Times New Roman" w:cs="Times New Roman"/>
          <w:kern w:val="0"/>
          <w:lang w:eastAsia="en-GB"/>
          <w14:ligatures w14:val="none"/>
        </w:rPr>
        <w:t>behaviour</w:t>
      </w:r>
      <w:r w:rsidRPr="002D47F3">
        <w:rPr>
          <w:rFonts w:eastAsia="Times New Roman" w:cs="Times New Roman"/>
          <w:kern w:val="0"/>
          <w:lang w:eastAsia="en-GB"/>
          <w14:ligatures w14:val="none"/>
        </w:rPr>
        <w:t>).</w:t>
      </w:r>
    </w:p>
    <w:p w14:paraId="65A8D3E9" w14:textId="77777777" w:rsidR="009B68DE" w:rsidRPr="002D47F3" w:rsidRDefault="009B68DE" w:rsidP="00776B39">
      <w:pPr>
        <w:pStyle w:val="ListParagraph"/>
        <w:numPr>
          <w:ilvl w:val="0"/>
          <w:numId w:val="39"/>
        </w:numPr>
        <w:spacing w:before="100" w:beforeAutospacing="1" w:after="100" w:afterAutospacing="1" w:line="240" w:lineRule="auto"/>
        <w:rPr>
          <w:rFonts w:eastAsia="Times New Roman" w:cs="Times New Roman"/>
          <w:kern w:val="0"/>
          <w:lang w:eastAsia="en-GB"/>
          <w14:ligatures w14:val="none"/>
        </w:rPr>
      </w:pPr>
      <w:r w:rsidRPr="002D47F3">
        <w:rPr>
          <w:rFonts w:eastAsia="Times New Roman" w:cs="Times New Roman"/>
          <w:b/>
          <w:bCs/>
          <w:kern w:val="0"/>
          <w:lang w:eastAsia="en-GB"/>
          <w14:ligatures w14:val="none"/>
        </w:rPr>
        <w:t>Data Validation and Filtering</w:t>
      </w:r>
      <w:r w:rsidRPr="002D47F3">
        <w:rPr>
          <w:rFonts w:eastAsia="Times New Roman" w:cs="Times New Roman"/>
          <w:kern w:val="0"/>
          <w:lang w:eastAsia="en-GB"/>
          <w14:ligatures w14:val="none"/>
        </w:rPr>
        <w:t>: To isolate target segments for analysis.</w:t>
      </w:r>
    </w:p>
    <w:p w14:paraId="2E3EC7F7" w14:textId="52EDE167" w:rsidR="008E01B2" w:rsidRPr="002D47F3" w:rsidRDefault="008E01B2" w:rsidP="00776B39">
      <w:pPr>
        <w:spacing w:line="240" w:lineRule="auto"/>
        <w:rPr>
          <w:b/>
          <w:bCs/>
        </w:rPr>
      </w:pPr>
      <w:r w:rsidRPr="002D47F3">
        <w:rPr>
          <w:b/>
          <w:bCs/>
        </w:rPr>
        <w:t>Data Visuali</w:t>
      </w:r>
      <w:r w:rsidR="00CB68C6" w:rsidRPr="002D47F3">
        <w:rPr>
          <w:b/>
          <w:bCs/>
        </w:rPr>
        <w:t>zation &amp; Charts</w:t>
      </w:r>
    </w:p>
    <w:p w14:paraId="44C7C49C" w14:textId="39F45188" w:rsidR="00CB68C6" w:rsidRPr="002D47F3" w:rsidRDefault="00994CFA" w:rsidP="00776B39">
      <w:pPr>
        <w:pStyle w:val="ListParagraph"/>
        <w:numPr>
          <w:ilvl w:val="0"/>
          <w:numId w:val="28"/>
        </w:numPr>
        <w:spacing w:line="240" w:lineRule="auto"/>
        <w:rPr>
          <w:b/>
          <w:bCs/>
        </w:rPr>
      </w:pPr>
      <w:r w:rsidRPr="002D47F3">
        <w:rPr>
          <w:b/>
          <w:bCs/>
        </w:rPr>
        <w:t>Charts and Graphs</w:t>
      </w:r>
      <w:r w:rsidR="004F76FB" w:rsidRPr="002D47F3">
        <w:rPr>
          <w:b/>
          <w:bCs/>
        </w:rPr>
        <w:t>:</w:t>
      </w:r>
    </w:p>
    <w:p w14:paraId="050ACE42" w14:textId="77777777" w:rsidR="00EE05A3" w:rsidRPr="002D47F3" w:rsidRDefault="00EE05A3" w:rsidP="00776B39">
      <w:pPr>
        <w:pStyle w:val="ListParagraph"/>
        <w:spacing w:line="240" w:lineRule="auto"/>
        <w:rPr>
          <w:b/>
          <w:bCs/>
        </w:rPr>
      </w:pPr>
    </w:p>
    <w:p w14:paraId="56422C71" w14:textId="3C2F930A" w:rsidR="009F0BA3" w:rsidRPr="002D47F3" w:rsidRDefault="003A4AC1" w:rsidP="00776B39">
      <w:pPr>
        <w:pStyle w:val="ListParagraph"/>
        <w:spacing w:line="240" w:lineRule="auto"/>
        <w:rPr>
          <w:b/>
          <w:bCs/>
        </w:rPr>
      </w:pPr>
      <w:r>
        <w:rPr>
          <w:noProof/>
        </w:rPr>
        <w:drawing>
          <wp:inline distT="0" distB="0" distL="0" distR="0" wp14:anchorId="21DCCE19" wp14:editId="2EDB652F">
            <wp:extent cx="4572000" cy="2743200"/>
            <wp:effectExtent l="0" t="0" r="0" b="0"/>
            <wp:docPr id="1720831960" name="Chart 1">
              <a:extLst xmlns:a="http://schemas.openxmlformats.org/drawingml/2006/main">
                <a:ext uri="{FF2B5EF4-FFF2-40B4-BE49-F238E27FC236}">
                  <a16:creationId xmlns:a16="http://schemas.microsoft.com/office/drawing/2014/main" id="{5E3028DB-5F9E-B4D3-2361-986BC8FFE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B39CFDE" w14:textId="6C4465C9" w:rsidR="00EE05A3" w:rsidRPr="002D47F3" w:rsidRDefault="005829EF" w:rsidP="00776B39">
      <w:pPr>
        <w:pStyle w:val="ListParagraph"/>
        <w:spacing w:line="240" w:lineRule="auto"/>
        <w:ind w:left="2160"/>
        <w:rPr>
          <w:b/>
          <w:bCs/>
        </w:rPr>
      </w:pPr>
      <w:r>
        <w:rPr>
          <w:noProof/>
        </w:rPr>
        <w:lastRenderedPageBreak/>
        <w:drawing>
          <wp:inline distT="0" distB="0" distL="0" distR="0" wp14:anchorId="44011480" wp14:editId="787C3F39">
            <wp:extent cx="4572000" cy="2743200"/>
            <wp:effectExtent l="0" t="0" r="0" b="0"/>
            <wp:docPr id="786304656" name="Chart 1">
              <a:extLst xmlns:a="http://schemas.openxmlformats.org/drawingml/2006/main">
                <a:ext uri="{FF2B5EF4-FFF2-40B4-BE49-F238E27FC236}">
                  <a16:creationId xmlns:a16="http://schemas.microsoft.com/office/drawing/2014/main" id="{8BC23773-2799-C59E-5C69-2EA6311EF3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FF6B01" w14:textId="77777777" w:rsidR="00EE05A3" w:rsidRPr="002D47F3" w:rsidRDefault="00EE05A3" w:rsidP="00776B39">
      <w:pPr>
        <w:spacing w:line="240" w:lineRule="auto"/>
        <w:rPr>
          <w:b/>
          <w:bCs/>
        </w:rPr>
      </w:pPr>
    </w:p>
    <w:p w14:paraId="1E3CAA74" w14:textId="77777777" w:rsidR="007561E2" w:rsidRDefault="007561E2" w:rsidP="00776B39">
      <w:pPr>
        <w:spacing w:line="240" w:lineRule="auto"/>
        <w:rPr>
          <w:b/>
          <w:bCs/>
        </w:rPr>
      </w:pPr>
    </w:p>
    <w:p w14:paraId="35648876" w14:textId="77777777" w:rsidR="00BA1E59" w:rsidRPr="00BA1E59" w:rsidRDefault="00BA1E59" w:rsidP="00776B39">
      <w:pPr>
        <w:spacing w:line="240" w:lineRule="auto"/>
        <w:rPr>
          <w:b/>
          <w:bCs/>
        </w:rPr>
      </w:pPr>
    </w:p>
    <w:p w14:paraId="440476BE" w14:textId="3437221D" w:rsidR="00687292" w:rsidRPr="002D47F3" w:rsidRDefault="00C77B8D" w:rsidP="00776B39">
      <w:pPr>
        <w:pStyle w:val="ListParagraph"/>
        <w:spacing w:line="240" w:lineRule="auto"/>
        <w:ind w:left="1440"/>
        <w:rPr>
          <w:b/>
          <w:bCs/>
        </w:rPr>
      </w:pPr>
      <w:r>
        <w:rPr>
          <w:noProof/>
        </w:rPr>
        <w:drawing>
          <wp:inline distT="0" distB="0" distL="0" distR="0" wp14:anchorId="21D13481" wp14:editId="71D7EEE2">
            <wp:extent cx="4572000" cy="2743200"/>
            <wp:effectExtent l="0" t="0" r="0" b="0"/>
            <wp:docPr id="330851759" name="Chart 1">
              <a:extLst xmlns:a="http://schemas.openxmlformats.org/drawingml/2006/main">
                <a:ext uri="{FF2B5EF4-FFF2-40B4-BE49-F238E27FC236}">
                  <a16:creationId xmlns:a16="http://schemas.microsoft.com/office/drawing/2014/main" id="{0F9B1E54-38A4-61EF-5A73-7168F23BF3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1039C9" w14:textId="77777777" w:rsidR="00A03AFC" w:rsidRPr="002D47F3" w:rsidRDefault="00A03AFC" w:rsidP="00776B39">
      <w:pPr>
        <w:spacing w:line="240" w:lineRule="auto"/>
        <w:rPr>
          <w:b/>
          <w:bCs/>
        </w:rPr>
      </w:pPr>
    </w:p>
    <w:p w14:paraId="0900466F" w14:textId="77777777" w:rsidR="00A03AFC" w:rsidRPr="002D47F3" w:rsidRDefault="00A03AFC" w:rsidP="00776B39">
      <w:pPr>
        <w:spacing w:line="240" w:lineRule="auto"/>
        <w:rPr>
          <w:b/>
          <w:bCs/>
        </w:rPr>
      </w:pPr>
    </w:p>
    <w:p w14:paraId="630DB214" w14:textId="77777777" w:rsidR="00621784" w:rsidRPr="002D47F3" w:rsidRDefault="00621784" w:rsidP="00776B39">
      <w:pPr>
        <w:spacing w:line="240" w:lineRule="auto"/>
        <w:rPr>
          <w:b/>
          <w:bCs/>
        </w:rPr>
      </w:pPr>
    </w:p>
    <w:p w14:paraId="1D24C6F8" w14:textId="7D668397" w:rsidR="00363330" w:rsidRPr="002D47F3" w:rsidRDefault="00C77B8D" w:rsidP="00776B39">
      <w:pPr>
        <w:spacing w:line="240" w:lineRule="auto"/>
        <w:rPr>
          <w:b/>
          <w:bCs/>
        </w:rPr>
      </w:pPr>
      <w:r>
        <w:rPr>
          <w:noProof/>
        </w:rPr>
        <w:lastRenderedPageBreak/>
        <w:drawing>
          <wp:inline distT="0" distB="0" distL="0" distR="0" wp14:anchorId="7181F96E" wp14:editId="224AE327">
            <wp:extent cx="4572000" cy="2743200"/>
            <wp:effectExtent l="0" t="0" r="0" b="0"/>
            <wp:docPr id="101164292" name="Chart 1">
              <a:extLst xmlns:a="http://schemas.openxmlformats.org/drawingml/2006/main">
                <a:ext uri="{FF2B5EF4-FFF2-40B4-BE49-F238E27FC236}">
                  <a16:creationId xmlns:a16="http://schemas.microsoft.com/office/drawing/2014/main" id="{8546CEAE-F326-B09E-D073-28F97E07D2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023FA8" w14:textId="77777777" w:rsidR="00621784" w:rsidRPr="002D47F3" w:rsidRDefault="00621784" w:rsidP="00776B39">
      <w:pPr>
        <w:spacing w:line="240" w:lineRule="auto"/>
        <w:rPr>
          <w:b/>
          <w:bCs/>
        </w:rPr>
      </w:pPr>
    </w:p>
    <w:p w14:paraId="282553ED" w14:textId="77777777" w:rsidR="00621784" w:rsidRPr="002D47F3" w:rsidRDefault="00621784" w:rsidP="00776B39">
      <w:pPr>
        <w:spacing w:line="240" w:lineRule="auto"/>
        <w:rPr>
          <w:b/>
          <w:bCs/>
        </w:rPr>
      </w:pPr>
    </w:p>
    <w:p w14:paraId="25A7F097" w14:textId="14E63D38" w:rsidR="00621784" w:rsidRPr="002D47F3" w:rsidRDefault="00F32122" w:rsidP="00776B39">
      <w:pPr>
        <w:spacing w:line="240" w:lineRule="auto"/>
        <w:rPr>
          <w:b/>
          <w:bCs/>
        </w:rPr>
      </w:pPr>
      <w:r>
        <w:rPr>
          <w:noProof/>
        </w:rPr>
        <w:drawing>
          <wp:inline distT="0" distB="0" distL="0" distR="0" wp14:anchorId="12913567" wp14:editId="67BA6C82">
            <wp:extent cx="4572000" cy="2743200"/>
            <wp:effectExtent l="0" t="0" r="0" b="0"/>
            <wp:docPr id="1940691042" name="Chart 1">
              <a:extLst xmlns:a="http://schemas.openxmlformats.org/drawingml/2006/main">
                <a:ext uri="{FF2B5EF4-FFF2-40B4-BE49-F238E27FC236}">
                  <a16:creationId xmlns:a16="http://schemas.microsoft.com/office/drawing/2014/main" id="{D8A021F8-5657-A940-20C0-0DBB9D32B7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7A370F" w14:textId="77777777" w:rsidR="00472B05" w:rsidRPr="002D47F3" w:rsidRDefault="00472B05" w:rsidP="00776B39">
      <w:pPr>
        <w:spacing w:line="240" w:lineRule="auto"/>
        <w:rPr>
          <w:b/>
          <w:bCs/>
        </w:rPr>
      </w:pPr>
    </w:p>
    <w:p w14:paraId="69C3F5A8" w14:textId="77777777" w:rsidR="003268B1" w:rsidRPr="002D47F3" w:rsidRDefault="003268B1" w:rsidP="00776B39">
      <w:pPr>
        <w:spacing w:line="240" w:lineRule="auto"/>
        <w:rPr>
          <w:b/>
          <w:bCs/>
          <w:noProof/>
        </w:rPr>
      </w:pPr>
    </w:p>
    <w:p w14:paraId="349EA8D2" w14:textId="05317769" w:rsidR="00472B05" w:rsidRPr="002D47F3" w:rsidRDefault="007E1CF3" w:rsidP="00776B39">
      <w:pPr>
        <w:spacing w:line="240" w:lineRule="auto"/>
        <w:rPr>
          <w:b/>
          <w:bCs/>
        </w:rPr>
      </w:pPr>
      <w:r>
        <w:rPr>
          <w:noProof/>
        </w:rPr>
        <w:lastRenderedPageBreak/>
        <w:drawing>
          <wp:inline distT="0" distB="0" distL="0" distR="0" wp14:anchorId="39690EEE" wp14:editId="0E6E9116">
            <wp:extent cx="4572000" cy="2743200"/>
            <wp:effectExtent l="0" t="0" r="0" b="0"/>
            <wp:docPr id="1268541148" name="Chart 1">
              <a:extLst xmlns:a="http://schemas.openxmlformats.org/drawingml/2006/main">
                <a:ext uri="{FF2B5EF4-FFF2-40B4-BE49-F238E27FC236}">
                  <a16:creationId xmlns:a16="http://schemas.microsoft.com/office/drawing/2014/main" id="{8C019032-629C-F2A0-5FAC-01051A3424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019A09" w14:textId="77777777" w:rsidR="00AB611A" w:rsidRDefault="00AB611A" w:rsidP="00776B39">
      <w:pPr>
        <w:spacing w:line="240" w:lineRule="auto"/>
        <w:rPr>
          <w:b/>
          <w:bCs/>
        </w:rPr>
      </w:pPr>
    </w:p>
    <w:p w14:paraId="72EBB713" w14:textId="77777777" w:rsidR="00BA1E59" w:rsidRPr="002D47F3" w:rsidRDefault="00BA1E59" w:rsidP="00776B39">
      <w:pPr>
        <w:spacing w:line="240" w:lineRule="auto"/>
        <w:rPr>
          <w:b/>
          <w:bCs/>
        </w:rPr>
      </w:pPr>
    </w:p>
    <w:p w14:paraId="059C4895" w14:textId="1559B74D" w:rsidR="00434B7D" w:rsidRPr="00BA1E59" w:rsidRDefault="007E1CF3" w:rsidP="00776B39">
      <w:pPr>
        <w:spacing w:line="240" w:lineRule="auto"/>
        <w:rPr>
          <w:b/>
          <w:bCs/>
        </w:rPr>
      </w:pPr>
      <w:r>
        <w:rPr>
          <w:noProof/>
        </w:rPr>
        <w:drawing>
          <wp:inline distT="0" distB="0" distL="0" distR="0" wp14:anchorId="7E8FC8E3" wp14:editId="6D1AA985">
            <wp:extent cx="4572000" cy="2743200"/>
            <wp:effectExtent l="0" t="0" r="0" b="0"/>
            <wp:docPr id="2100829784" name="Chart 1">
              <a:extLst xmlns:a="http://schemas.openxmlformats.org/drawingml/2006/main">
                <a:ext uri="{FF2B5EF4-FFF2-40B4-BE49-F238E27FC236}">
                  <a16:creationId xmlns:a16="http://schemas.microsoft.com/office/drawing/2014/main" id="{5AB5F979-3B2D-1AC8-090F-B242A8B05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7F2216" w14:textId="77777777" w:rsidR="00434B7D" w:rsidRPr="002D47F3" w:rsidRDefault="00434B7D" w:rsidP="00776B39">
      <w:pPr>
        <w:spacing w:line="240" w:lineRule="auto"/>
        <w:rPr>
          <w:b/>
          <w:bCs/>
        </w:rPr>
      </w:pPr>
    </w:p>
    <w:p w14:paraId="251D83EB" w14:textId="77777777" w:rsidR="00AB410B" w:rsidRPr="002D47F3" w:rsidRDefault="00AB410B" w:rsidP="00776B39">
      <w:pPr>
        <w:spacing w:line="240" w:lineRule="auto"/>
        <w:rPr>
          <w:b/>
          <w:bCs/>
        </w:rPr>
      </w:pPr>
    </w:p>
    <w:p w14:paraId="6AF5BCC2" w14:textId="5078570B" w:rsidR="00434B7D" w:rsidRPr="002D47F3" w:rsidRDefault="00434B7D" w:rsidP="00776B39">
      <w:pPr>
        <w:spacing w:line="240" w:lineRule="auto"/>
        <w:rPr>
          <w:b/>
          <w:bCs/>
        </w:rPr>
      </w:pPr>
    </w:p>
    <w:p w14:paraId="6467BC3E" w14:textId="77777777" w:rsidR="00D50C86" w:rsidRPr="002D47F3" w:rsidRDefault="00D50C86" w:rsidP="00776B39">
      <w:pPr>
        <w:spacing w:line="240" w:lineRule="auto"/>
        <w:rPr>
          <w:b/>
          <w:bCs/>
        </w:rPr>
      </w:pPr>
    </w:p>
    <w:p w14:paraId="6A752549" w14:textId="647FFD05" w:rsidR="005B62D8" w:rsidRPr="002D47F3" w:rsidRDefault="005B62D8" w:rsidP="00776B39">
      <w:pPr>
        <w:pStyle w:val="ListParagraph"/>
        <w:numPr>
          <w:ilvl w:val="0"/>
          <w:numId w:val="28"/>
        </w:numPr>
        <w:spacing w:line="240" w:lineRule="auto"/>
        <w:rPr>
          <w:b/>
          <w:bCs/>
        </w:rPr>
      </w:pPr>
      <w:r w:rsidRPr="002D47F3">
        <w:rPr>
          <w:b/>
          <w:bCs/>
        </w:rPr>
        <w:t>Dashboard:</w:t>
      </w:r>
    </w:p>
    <w:p w14:paraId="5CA7A653" w14:textId="7A2F1961" w:rsidR="005D41EE" w:rsidRPr="005D41EE" w:rsidRDefault="005D41EE" w:rsidP="00776B39">
      <w:pPr>
        <w:pStyle w:val="ListParagraph"/>
        <w:rPr>
          <w:noProof/>
        </w:rPr>
      </w:pPr>
      <w:r w:rsidRPr="005D41EE">
        <w:rPr>
          <w:noProof/>
        </w:rPr>
        <w:lastRenderedPageBreak/>
        <w:drawing>
          <wp:inline distT="0" distB="0" distL="0" distR="0" wp14:anchorId="2324FA6B" wp14:editId="02CF2976">
            <wp:extent cx="5731510" cy="2812415"/>
            <wp:effectExtent l="0" t="0" r="2540" b="6985"/>
            <wp:docPr id="1201226137"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26137" name="Picture 1" descr="A close-up of a graph&#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12415"/>
                    </a:xfrm>
                    <a:prstGeom prst="rect">
                      <a:avLst/>
                    </a:prstGeom>
                    <a:noFill/>
                    <a:ln>
                      <a:noFill/>
                    </a:ln>
                  </pic:spPr>
                </pic:pic>
              </a:graphicData>
            </a:graphic>
          </wp:inline>
        </w:drawing>
      </w:r>
    </w:p>
    <w:p w14:paraId="1DE50F44" w14:textId="60EF1EAA" w:rsidR="005B62D8" w:rsidRPr="002D47F3" w:rsidRDefault="005B62D8" w:rsidP="00776B39">
      <w:pPr>
        <w:pStyle w:val="ListParagraph"/>
        <w:spacing w:line="240" w:lineRule="auto"/>
        <w:rPr>
          <w:b/>
          <w:bCs/>
        </w:rPr>
      </w:pPr>
    </w:p>
    <w:p w14:paraId="23ED973B" w14:textId="263C0A69" w:rsidR="000C185F" w:rsidRPr="002D47F3" w:rsidRDefault="000C185F" w:rsidP="00776B39">
      <w:pPr>
        <w:spacing w:line="240" w:lineRule="auto"/>
        <w:rPr>
          <w:b/>
          <w:bCs/>
        </w:rPr>
      </w:pPr>
    </w:p>
    <w:p w14:paraId="53F027D0" w14:textId="7B41853B" w:rsidR="000C185F" w:rsidRPr="002D47F3" w:rsidRDefault="000C185F" w:rsidP="00776B39">
      <w:pPr>
        <w:spacing w:line="240" w:lineRule="auto"/>
        <w:rPr>
          <w:b/>
          <w:bCs/>
        </w:rPr>
      </w:pPr>
    </w:p>
    <w:p w14:paraId="17AE2961" w14:textId="4780E0DB" w:rsidR="00C512D6" w:rsidRPr="002D47F3" w:rsidRDefault="000C0CD4" w:rsidP="00776B39">
      <w:pPr>
        <w:spacing w:line="240" w:lineRule="auto"/>
        <w:rPr>
          <w:b/>
          <w:bCs/>
        </w:rPr>
      </w:pPr>
      <w:r w:rsidRPr="002D47F3">
        <w:rPr>
          <w:b/>
          <w:bCs/>
        </w:rPr>
        <w:t>Recommendations and Observations</w:t>
      </w:r>
    </w:p>
    <w:p w14:paraId="2D48C6D9" w14:textId="66A5C78D" w:rsidR="000C0CD4" w:rsidRPr="002D47F3" w:rsidRDefault="00D82387" w:rsidP="00776B39">
      <w:pPr>
        <w:pStyle w:val="ListParagraph"/>
        <w:numPr>
          <w:ilvl w:val="0"/>
          <w:numId w:val="29"/>
        </w:numPr>
        <w:spacing w:line="240" w:lineRule="auto"/>
        <w:rPr>
          <w:b/>
          <w:bCs/>
        </w:rPr>
      </w:pPr>
      <w:r w:rsidRPr="002D47F3">
        <w:rPr>
          <w:b/>
          <w:bCs/>
        </w:rPr>
        <w:t>Observations:</w:t>
      </w:r>
    </w:p>
    <w:p w14:paraId="2EF30F1F" w14:textId="77777777" w:rsidR="00F876E8" w:rsidRPr="00F876E8" w:rsidRDefault="00F876E8" w:rsidP="00776B39">
      <w:pPr>
        <w:pStyle w:val="NormalWeb"/>
        <w:ind w:left="360"/>
        <w:rPr>
          <w:rFonts w:asciiTheme="minorHAnsi" w:eastAsiaTheme="minorEastAsia" w:hAnsiTheme="minorHAnsi"/>
          <w:color w:val="000000"/>
        </w:rPr>
      </w:pPr>
      <w:r w:rsidRPr="00F876E8">
        <w:rPr>
          <w:rFonts w:asciiTheme="minorHAnsi" w:eastAsiaTheme="minorEastAsia" w:hAnsiTheme="minorHAnsi"/>
          <w:color w:val="000000"/>
        </w:rPr>
        <w:t>1. Mental health peaked in 2023 with an average score of 5.52, after dipping in 2022.</w:t>
      </w:r>
    </w:p>
    <w:p w14:paraId="3D97D9F9" w14:textId="77777777" w:rsidR="00F876E8" w:rsidRPr="00F876E8" w:rsidRDefault="00F876E8" w:rsidP="00776B39">
      <w:pPr>
        <w:pStyle w:val="NormalWeb"/>
        <w:ind w:left="360"/>
        <w:rPr>
          <w:rFonts w:asciiTheme="minorHAnsi" w:eastAsiaTheme="minorEastAsia" w:hAnsiTheme="minorHAnsi"/>
          <w:color w:val="000000"/>
        </w:rPr>
      </w:pPr>
      <w:r w:rsidRPr="00F876E8">
        <w:rPr>
          <w:rFonts w:asciiTheme="minorHAnsi" w:eastAsiaTheme="minorEastAsia" w:hAnsiTheme="minorHAnsi"/>
          <w:color w:val="000000"/>
        </w:rPr>
        <w:t>2. Youth aged 0-14 show the highest smoking prevalence at 28.09.</w:t>
      </w:r>
    </w:p>
    <w:p w14:paraId="05920AC4" w14:textId="1E96E9E6" w:rsidR="00F876E8" w:rsidRPr="00F876E8" w:rsidRDefault="00F876E8" w:rsidP="00776B39">
      <w:pPr>
        <w:pStyle w:val="NormalWeb"/>
        <w:ind w:left="360"/>
        <w:rPr>
          <w:rFonts w:asciiTheme="minorHAnsi" w:eastAsiaTheme="minorEastAsia" w:hAnsiTheme="minorHAnsi"/>
          <w:color w:val="000000"/>
        </w:rPr>
      </w:pPr>
      <w:r w:rsidRPr="00F876E8">
        <w:rPr>
          <w:rFonts w:asciiTheme="minorHAnsi" w:eastAsiaTheme="minorEastAsia" w:hAnsiTheme="minorHAnsi"/>
          <w:color w:val="000000"/>
        </w:rPr>
        <w:t xml:space="preserve">3. Age 20-24 has the highest access to </w:t>
      </w:r>
      <w:r w:rsidRPr="002D47F3">
        <w:rPr>
          <w:rFonts w:asciiTheme="minorHAnsi" w:eastAsiaTheme="minorEastAsia" w:hAnsiTheme="minorHAnsi"/>
          <w:color w:val="000000"/>
        </w:rPr>
        <w:t>counselling</w:t>
      </w:r>
      <w:r w:rsidRPr="00F876E8">
        <w:rPr>
          <w:rFonts w:asciiTheme="minorHAnsi" w:eastAsiaTheme="minorEastAsia" w:hAnsiTheme="minorHAnsi"/>
          <w:color w:val="000000"/>
        </w:rPr>
        <w:t xml:space="preserve"> (1,045).</w:t>
      </w:r>
    </w:p>
    <w:p w14:paraId="4EB3A47E" w14:textId="77777777" w:rsidR="00F876E8" w:rsidRPr="00F876E8" w:rsidRDefault="00F876E8" w:rsidP="00776B39">
      <w:pPr>
        <w:pStyle w:val="NormalWeb"/>
        <w:ind w:left="360"/>
        <w:rPr>
          <w:rFonts w:asciiTheme="minorHAnsi" w:eastAsiaTheme="minorEastAsia" w:hAnsiTheme="minorHAnsi"/>
          <w:color w:val="000000"/>
        </w:rPr>
      </w:pPr>
      <w:r w:rsidRPr="00F876E8">
        <w:rPr>
          <w:rFonts w:asciiTheme="minorHAnsi" w:eastAsiaTheme="minorEastAsia" w:hAnsiTheme="minorHAnsi"/>
          <w:color w:val="000000"/>
        </w:rPr>
        <w:t>4. Low socioeconomic status group reports the highest drug experimentation (40.33). This may reflect social pressure.</w:t>
      </w:r>
    </w:p>
    <w:p w14:paraId="5CBA64D1" w14:textId="77777777" w:rsidR="00F876E8" w:rsidRPr="00F876E8" w:rsidRDefault="00F876E8" w:rsidP="00776B39">
      <w:pPr>
        <w:pStyle w:val="NormalWeb"/>
        <w:ind w:left="360"/>
        <w:rPr>
          <w:rFonts w:asciiTheme="minorHAnsi" w:eastAsiaTheme="minorEastAsia" w:hAnsiTheme="minorHAnsi"/>
          <w:color w:val="000000"/>
        </w:rPr>
      </w:pPr>
      <w:r w:rsidRPr="00F876E8">
        <w:rPr>
          <w:rFonts w:asciiTheme="minorHAnsi" w:eastAsiaTheme="minorEastAsia" w:hAnsiTheme="minorHAnsi"/>
          <w:color w:val="000000"/>
        </w:rPr>
        <w:t>5. Both gender identifying individuals report the highest drug use average (40.48).</w:t>
      </w:r>
    </w:p>
    <w:p w14:paraId="75BA871B" w14:textId="77777777" w:rsidR="00F876E8" w:rsidRPr="00F876E8" w:rsidRDefault="00F876E8" w:rsidP="00776B39">
      <w:pPr>
        <w:pStyle w:val="NormalWeb"/>
        <w:ind w:left="360"/>
        <w:rPr>
          <w:rFonts w:asciiTheme="minorHAnsi" w:eastAsiaTheme="minorEastAsia" w:hAnsiTheme="minorHAnsi"/>
          <w:color w:val="000000"/>
        </w:rPr>
      </w:pPr>
      <w:r w:rsidRPr="00F876E8">
        <w:rPr>
          <w:rFonts w:asciiTheme="minorHAnsi" w:eastAsiaTheme="minorEastAsia" w:hAnsiTheme="minorHAnsi"/>
          <w:color w:val="000000"/>
        </w:rPr>
        <w:t>6. Females report the lowest parental supervision. (5.47).</w:t>
      </w:r>
    </w:p>
    <w:p w14:paraId="0FDE0734" w14:textId="77777777" w:rsidR="00F876E8" w:rsidRPr="00F876E8" w:rsidRDefault="00F876E8" w:rsidP="00776B39">
      <w:pPr>
        <w:pStyle w:val="NormalWeb"/>
        <w:ind w:left="360"/>
        <w:rPr>
          <w:rFonts w:asciiTheme="minorHAnsi" w:eastAsiaTheme="minorEastAsia" w:hAnsiTheme="minorHAnsi"/>
          <w:color w:val="000000"/>
        </w:rPr>
      </w:pPr>
      <w:r w:rsidRPr="00F876E8">
        <w:rPr>
          <w:rFonts w:asciiTheme="minorHAnsi" w:eastAsiaTheme="minorEastAsia" w:hAnsiTheme="minorHAnsi"/>
          <w:color w:val="000000"/>
        </w:rPr>
        <w:t>7. Older adults (60-69) are the most media influenced age group (5.69). Older adults are more impacted than expected,</w:t>
      </w:r>
    </w:p>
    <w:p w14:paraId="53C71B0C" w14:textId="51629348" w:rsidR="00F876E8" w:rsidRPr="00F876E8" w:rsidRDefault="00F876E8" w:rsidP="00776B39">
      <w:pPr>
        <w:pStyle w:val="NormalWeb"/>
        <w:ind w:left="360"/>
        <w:rPr>
          <w:rFonts w:asciiTheme="minorHAnsi" w:eastAsiaTheme="minorEastAsia" w:hAnsiTheme="minorHAnsi"/>
          <w:color w:val="000000"/>
        </w:rPr>
      </w:pPr>
      <w:r w:rsidRPr="00F876E8">
        <w:rPr>
          <w:rFonts w:asciiTheme="minorHAnsi" w:eastAsiaTheme="minorEastAsia" w:hAnsiTheme="minorHAnsi"/>
          <w:color w:val="000000"/>
        </w:rPr>
        <w:t xml:space="preserve">8. Ages 25-29 and 70-79 have the lowest access to </w:t>
      </w:r>
      <w:r w:rsidRPr="002D47F3">
        <w:rPr>
          <w:rFonts w:asciiTheme="minorHAnsi" w:eastAsiaTheme="minorEastAsia" w:hAnsiTheme="minorHAnsi"/>
          <w:color w:val="000000"/>
        </w:rPr>
        <w:t>counselling</w:t>
      </w:r>
      <w:r w:rsidRPr="00F876E8">
        <w:rPr>
          <w:rFonts w:asciiTheme="minorHAnsi" w:eastAsiaTheme="minorEastAsia" w:hAnsiTheme="minorHAnsi"/>
          <w:color w:val="000000"/>
        </w:rPr>
        <w:t>, below 1,000.</w:t>
      </w:r>
    </w:p>
    <w:p w14:paraId="62BBD7DE" w14:textId="77777777" w:rsidR="00A64014" w:rsidRPr="002D47F3" w:rsidRDefault="00A64014" w:rsidP="00776B39">
      <w:pPr>
        <w:pStyle w:val="NormalWeb"/>
        <w:spacing w:before="0" w:beforeAutospacing="0" w:after="0" w:afterAutospacing="0"/>
        <w:rPr>
          <w:rFonts w:asciiTheme="minorHAnsi" w:eastAsiaTheme="minorEastAsia" w:hAnsiTheme="minorHAnsi" w:cstheme="minorBidi"/>
          <w:color w:val="000000"/>
        </w:rPr>
      </w:pPr>
    </w:p>
    <w:p w14:paraId="1E9B4CCE" w14:textId="52827498" w:rsidR="005D7730" w:rsidRPr="002D47F3" w:rsidRDefault="005D7730" w:rsidP="00776B39">
      <w:pPr>
        <w:pStyle w:val="NormalWeb"/>
        <w:spacing w:before="0" w:beforeAutospacing="0" w:after="0" w:afterAutospacing="0"/>
        <w:rPr>
          <w:rFonts w:asciiTheme="minorHAnsi" w:hAnsiTheme="minorHAnsi"/>
        </w:rPr>
      </w:pPr>
    </w:p>
    <w:p w14:paraId="546B04EE" w14:textId="134C3932" w:rsidR="004F0C43" w:rsidRPr="002D47F3" w:rsidRDefault="004F0C43" w:rsidP="00776B39">
      <w:pPr>
        <w:pStyle w:val="NormalWeb"/>
        <w:numPr>
          <w:ilvl w:val="0"/>
          <w:numId w:val="29"/>
        </w:numPr>
        <w:spacing w:before="0" w:beforeAutospacing="0" w:after="0" w:afterAutospacing="0"/>
        <w:rPr>
          <w:rFonts w:asciiTheme="minorHAnsi" w:hAnsiTheme="minorHAnsi"/>
          <w:b/>
          <w:bCs/>
        </w:rPr>
      </w:pPr>
      <w:r w:rsidRPr="002D47F3">
        <w:rPr>
          <w:rFonts w:asciiTheme="minorHAnsi" w:hAnsiTheme="minorHAnsi"/>
          <w:b/>
          <w:bCs/>
        </w:rPr>
        <w:t>Recommendations:</w:t>
      </w:r>
    </w:p>
    <w:p w14:paraId="06BC2B39" w14:textId="77777777" w:rsidR="00C34334" w:rsidRPr="00C34334" w:rsidRDefault="00C34334" w:rsidP="00776B39">
      <w:pPr>
        <w:pStyle w:val="NormalWeb"/>
        <w:ind w:left="360"/>
        <w:rPr>
          <w:rFonts w:asciiTheme="minorHAnsi" w:hAnsiTheme="minorHAnsi"/>
        </w:rPr>
      </w:pPr>
      <w:r w:rsidRPr="00C34334">
        <w:rPr>
          <w:rFonts w:asciiTheme="minorHAnsi" w:hAnsiTheme="minorHAnsi"/>
        </w:rPr>
        <w:t>1. Sustain and strengthen mental health programs that helped improve the average scores in 2023.</w:t>
      </w:r>
    </w:p>
    <w:p w14:paraId="7BD2E80B" w14:textId="77777777" w:rsidR="00C34334" w:rsidRPr="00C34334" w:rsidRDefault="00C34334" w:rsidP="00776B39">
      <w:pPr>
        <w:pStyle w:val="NormalWeb"/>
        <w:ind w:left="360"/>
        <w:rPr>
          <w:rFonts w:asciiTheme="minorHAnsi" w:hAnsiTheme="minorHAnsi"/>
        </w:rPr>
      </w:pPr>
      <w:r w:rsidRPr="00C34334">
        <w:rPr>
          <w:rFonts w:asciiTheme="minorHAnsi" w:hAnsiTheme="minorHAnsi"/>
        </w:rPr>
        <w:lastRenderedPageBreak/>
        <w:t>2. Introduce early smoking prevention programs targeted at ages 0-14.</w:t>
      </w:r>
    </w:p>
    <w:p w14:paraId="651CF2FE" w14:textId="5E5F94BA" w:rsidR="00C34334" w:rsidRPr="00C34334" w:rsidRDefault="00C34334" w:rsidP="00776B39">
      <w:pPr>
        <w:pStyle w:val="NormalWeb"/>
        <w:ind w:left="360"/>
        <w:rPr>
          <w:rFonts w:asciiTheme="minorHAnsi" w:hAnsiTheme="minorHAnsi"/>
        </w:rPr>
      </w:pPr>
      <w:r w:rsidRPr="00C34334">
        <w:rPr>
          <w:rFonts w:asciiTheme="minorHAnsi" w:hAnsiTheme="minorHAnsi"/>
        </w:rPr>
        <w:t xml:space="preserve">3. Expand </w:t>
      </w:r>
      <w:r w:rsidRPr="002D47F3">
        <w:rPr>
          <w:rFonts w:asciiTheme="minorHAnsi" w:hAnsiTheme="minorHAnsi"/>
        </w:rPr>
        <w:t>counselling</w:t>
      </w:r>
      <w:r w:rsidRPr="00C34334">
        <w:rPr>
          <w:rFonts w:asciiTheme="minorHAnsi" w:hAnsiTheme="minorHAnsi"/>
        </w:rPr>
        <w:t xml:space="preserve"> access for ages 25-29 and 70-79, where support appears limited.</w:t>
      </w:r>
    </w:p>
    <w:p w14:paraId="22A2E400" w14:textId="77777777" w:rsidR="00C34334" w:rsidRPr="00C34334" w:rsidRDefault="00C34334" w:rsidP="00776B39">
      <w:pPr>
        <w:pStyle w:val="NormalWeb"/>
        <w:ind w:left="360"/>
        <w:rPr>
          <w:rFonts w:asciiTheme="minorHAnsi" w:hAnsiTheme="minorHAnsi"/>
        </w:rPr>
      </w:pPr>
      <w:r w:rsidRPr="00C34334">
        <w:rPr>
          <w:rFonts w:asciiTheme="minorHAnsi" w:hAnsiTheme="minorHAnsi"/>
        </w:rPr>
        <w:t>4. Design outreach for low-income groups with drug use awareness and support systems.</w:t>
      </w:r>
    </w:p>
    <w:p w14:paraId="5E1192CA" w14:textId="77777777" w:rsidR="00C34334" w:rsidRPr="00C34334" w:rsidRDefault="00C34334" w:rsidP="00776B39">
      <w:pPr>
        <w:pStyle w:val="NormalWeb"/>
        <w:ind w:left="360"/>
        <w:rPr>
          <w:rFonts w:asciiTheme="minorHAnsi" w:hAnsiTheme="minorHAnsi"/>
        </w:rPr>
      </w:pPr>
      <w:r w:rsidRPr="00C34334">
        <w:rPr>
          <w:rFonts w:asciiTheme="minorHAnsi" w:hAnsiTheme="minorHAnsi"/>
        </w:rPr>
        <w:t>5. Ensure inclusive mental health and education programs for gender diverse youth.</w:t>
      </w:r>
    </w:p>
    <w:p w14:paraId="63393176" w14:textId="77777777" w:rsidR="00C34334" w:rsidRPr="00C34334" w:rsidRDefault="00C34334" w:rsidP="00776B39">
      <w:pPr>
        <w:pStyle w:val="NormalWeb"/>
        <w:ind w:left="360"/>
        <w:rPr>
          <w:rFonts w:asciiTheme="minorHAnsi" w:hAnsiTheme="minorHAnsi"/>
        </w:rPr>
      </w:pPr>
      <w:r w:rsidRPr="00C34334">
        <w:rPr>
          <w:rFonts w:asciiTheme="minorHAnsi" w:hAnsiTheme="minorHAnsi"/>
        </w:rPr>
        <w:t>6. Promote balanced parental engagement across genders, especially for females.</w:t>
      </w:r>
    </w:p>
    <w:p w14:paraId="242B7328" w14:textId="77777777" w:rsidR="00C34334" w:rsidRPr="00C34334" w:rsidRDefault="00C34334" w:rsidP="00776B39">
      <w:pPr>
        <w:pStyle w:val="NormalWeb"/>
        <w:ind w:left="360"/>
        <w:rPr>
          <w:rFonts w:asciiTheme="minorHAnsi" w:hAnsiTheme="minorHAnsi"/>
        </w:rPr>
      </w:pPr>
      <w:r w:rsidRPr="00C34334">
        <w:rPr>
          <w:rFonts w:asciiTheme="minorHAnsi" w:hAnsiTheme="minorHAnsi"/>
        </w:rPr>
        <w:t>7. Use media channels to target seniors (60+) with accurate health messaging.</w:t>
      </w:r>
    </w:p>
    <w:p w14:paraId="7D23EBC2" w14:textId="31ED7F9A" w:rsidR="006B3622" w:rsidRPr="002D47F3" w:rsidRDefault="00C34334" w:rsidP="00776B39">
      <w:pPr>
        <w:pStyle w:val="NormalWeb"/>
        <w:spacing w:before="0" w:beforeAutospacing="0" w:after="0" w:afterAutospacing="0"/>
        <w:ind w:left="360"/>
        <w:rPr>
          <w:rFonts w:asciiTheme="minorHAnsi" w:hAnsiTheme="minorHAnsi"/>
        </w:rPr>
      </w:pPr>
      <w:r w:rsidRPr="002D47F3">
        <w:rPr>
          <w:rFonts w:asciiTheme="minorHAnsi" w:hAnsiTheme="minorHAnsi"/>
        </w:rPr>
        <w:t>8. Monitor supervision and behaviour correlations to strengthen youth protection strategies.</w:t>
      </w:r>
    </w:p>
    <w:p w14:paraId="4FBD3557" w14:textId="77777777" w:rsidR="006B3622" w:rsidRPr="002D47F3" w:rsidRDefault="006B3622" w:rsidP="00776B39">
      <w:pPr>
        <w:pStyle w:val="NormalWeb"/>
        <w:spacing w:before="0" w:beforeAutospacing="0" w:after="0" w:afterAutospacing="0"/>
        <w:rPr>
          <w:rFonts w:asciiTheme="minorHAnsi" w:hAnsiTheme="minorHAnsi"/>
        </w:rPr>
      </w:pPr>
    </w:p>
    <w:p w14:paraId="200CB06D" w14:textId="69B314AE" w:rsidR="006B3622" w:rsidRPr="002D47F3" w:rsidRDefault="006B3622" w:rsidP="00776B39">
      <w:pPr>
        <w:pStyle w:val="NormalWeb"/>
        <w:spacing w:before="0" w:beforeAutospacing="0" w:after="0" w:afterAutospacing="0"/>
        <w:rPr>
          <w:rFonts w:asciiTheme="minorHAnsi" w:hAnsiTheme="minorHAnsi"/>
          <w:b/>
          <w:bCs/>
        </w:rPr>
      </w:pPr>
      <w:r w:rsidRPr="002D47F3">
        <w:rPr>
          <w:rFonts w:asciiTheme="minorHAnsi" w:hAnsiTheme="minorHAnsi"/>
          <w:b/>
          <w:bCs/>
        </w:rPr>
        <w:t>Conclusion</w:t>
      </w:r>
    </w:p>
    <w:p w14:paraId="7368394A" w14:textId="0CB483E8" w:rsidR="00704CC7" w:rsidRPr="002D47F3" w:rsidRDefault="00464751" w:rsidP="00776B39">
      <w:pPr>
        <w:pStyle w:val="NormalWeb"/>
        <w:numPr>
          <w:ilvl w:val="0"/>
          <w:numId w:val="30"/>
        </w:numPr>
        <w:spacing w:before="0" w:beforeAutospacing="0" w:after="0" w:afterAutospacing="0"/>
        <w:rPr>
          <w:rFonts w:asciiTheme="minorHAnsi" w:hAnsiTheme="minorHAnsi"/>
          <w:b/>
          <w:bCs/>
        </w:rPr>
      </w:pPr>
      <w:r w:rsidRPr="002D47F3">
        <w:rPr>
          <w:rFonts w:asciiTheme="minorHAnsi" w:hAnsiTheme="minorHAnsi"/>
          <w:b/>
          <w:bCs/>
        </w:rPr>
        <w:t>Key Learnings:</w:t>
      </w:r>
    </w:p>
    <w:p w14:paraId="1655AD6D" w14:textId="308EF998" w:rsidR="00593D4F" w:rsidRPr="00DD678B" w:rsidRDefault="00593D4F" w:rsidP="00776B39">
      <w:pPr>
        <w:pStyle w:val="ListParagraph"/>
        <w:numPr>
          <w:ilvl w:val="0"/>
          <w:numId w:val="39"/>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t>Mental</w:t>
      </w:r>
      <w:r w:rsidRPr="00DD678B">
        <w:rPr>
          <w:rFonts w:eastAsia="Times New Roman" w:cs="Times New Roman"/>
          <w:kern w:val="0"/>
          <w:lang w:eastAsia="en-GB"/>
          <w14:ligatures w14:val="none"/>
        </w:rPr>
        <w:t xml:space="preserve"> health among youth is steadily declining, with environmental and social factors playing a key role.</w:t>
      </w:r>
    </w:p>
    <w:p w14:paraId="6FEAEE6F" w14:textId="5A05D857" w:rsidR="00593D4F" w:rsidRPr="00DD678B" w:rsidRDefault="00593D4F" w:rsidP="00776B39">
      <w:pPr>
        <w:pStyle w:val="ListParagraph"/>
        <w:numPr>
          <w:ilvl w:val="0"/>
          <w:numId w:val="39"/>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t>Media</w:t>
      </w:r>
      <w:r w:rsidRPr="00DD678B">
        <w:rPr>
          <w:rFonts w:eastAsia="Times New Roman" w:cs="Times New Roman"/>
          <w:kern w:val="0"/>
          <w:lang w:eastAsia="en-GB"/>
          <w14:ligatures w14:val="none"/>
        </w:rPr>
        <w:t xml:space="preserve"> exposure and peer influence are strong </w:t>
      </w:r>
      <w:r w:rsidRPr="00DD678B">
        <w:rPr>
          <w:rFonts w:eastAsia="Times New Roman" w:cs="Times New Roman"/>
          <w:kern w:val="0"/>
          <w:lang w:eastAsia="en-GB"/>
          <w14:ligatures w14:val="none"/>
        </w:rPr>
        <w:t>behavioural</w:t>
      </w:r>
      <w:r w:rsidRPr="00DD678B">
        <w:rPr>
          <w:rFonts w:eastAsia="Times New Roman" w:cs="Times New Roman"/>
          <w:kern w:val="0"/>
          <w:lang w:eastAsia="en-GB"/>
          <w14:ligatures w14:val="none"/>
        </w:rPr>
        <w:t xml:space="preserve"> drivers, especially in relation to drug use and smoking.</w:t>
      </w:r>
    </w:p>
    <w:p w14:paraId="22CA0F3D" w14:textId="75A584FC" w:rsidR="00593D4F" w:rsidRPr="00DD678B" w:rsidRDefault="00593D4F" w:rsidP="00776B39">
      <w:pPr>
        <w:pStyle w:val="ListParagraph"/>
        <w:numPr>
          <w:ilvl w:val="0"/>
          <w:numId w:val="39"/>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t>Counselling</w:t>
      </w:r>
      <w:r w:rsidRPr="00DD678B">
        <w:rPr>
          <w:rFonts w:eastAsia="Times New Roman" w:cs="Times New Roman"/>
          <w:kern w:val="0"/>
          <w:lang w:eastAsia="en-GB"/>
          <w14:ligatures w14:val="none"/>
        </w:rPr>
        <w:t xml:space="preserve"> access and parental supervision are critical protective factors—both significantly correlate with improved mental health and reduced risk </w:t>
      </w:r>
      <w:r w:rsidRPr="00DD678B">
        <w:rPr>
          <w:rFonts w:eastAsia="Times New Roman" w:cs="Times New Roman"/>
          <w:kern w:val="0"/>
          <w:lang w:eastAsia="en-GB"/>
          <w14:ligatures w14:val="none"/>
        </w:rPr>
        <w:t>behaviours</w:t>
      </w:r>
      <w:r w:rsidRPr="00DD678B">
        <w:rPr>
          <w:rFonts w:eastAsia="Times New Roman" w:cs="Times New Roman"/>
          <w:kern w:val="0"/>
          <w:lang w:eastAsia="en-GB"/>
          <w14:ligatures w14:val="none"/>
        </w:rPr>
        <w:t>.</w:t>
      </w:r>
    </w:p>
    <w:p w14:paraId="3CB754D4" w14:textId="4642AA08" w:rsidR="00593D4F" w:rsidRPr="00DD678B" w:rsidRDefault="00593D4F" w:rsidP="00776B39">
      <w:pPr>
        <w:pStyle w:val="ListParagraph"/>
        <w:numPr>
          <w:ilvl w:val="0"/>
          <w:numId w:val="39"/>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t>Demographics</w:t>
      </w:r>
      <w:r w:rsidRPr="00DD678B">
        <w:rPr>
          <w:rFonts w:eastAsia="Times New Roman" w:cs="Times New Roman"/>
          <w:kern w:val="0"/>
          <w:lang w:eastAsia="en-GB"/>
          <w14:ligatures w14:val="none"/>
        </w:rPr>
        <w:t xml:space="preserve"> matter: Gender, socioeconomic status, and age each influence </w:t>
      </w:r>
      <w:r w:rsidRPr="00DD678B">
        <w:rPr>
          <w:rFonts w:eastAsia="Times New Roman" w:cs="Times New Roman"/>
          <w:kern w:val="0"/>
          <w:lang w:eastAsia="en-GB"/>
          <w14:ligatures w14:val="none"/>
        </w:rPr>
        <w:t>behavioural</w:t>
      </w:r>
      <w:r w:rsidRPr="00DD678B">
        <w:rPr>
          <w:rFonts w:eastAsia="Times New Roman" w:cs="Times New Roman"/>
          <w:kern w:val="0"/>
          <w:lang w:eastAsia="en-GB"/>
          <w14:ligatures w14:val="none"/>
        </w:rPr>
        <w:t xml:space="preserve"> outcomes in distinct ways.</w:t>
      </w:r>
    </w:p>
    <w:p w14:paraId="603E0F4C" w14:textId="1441CF43" w:rsidR="00593D4F" w:rsidRPr="00DD678B" w:rsidRDefault="00593D4F" w:rsidP="00776B39">
      <w:pPr>
        <w:pStyle w:val="ListParagraph"/>
        <w:numPr>
          <w:ilvl w:val="0"/>
          <w:numId w:val="39"/>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t>Not</w:t>
      </w:r>
      <w:r w:rsidRPr="00DD678B">
        <w:rPr>
          <w:rFonts w:eastAsia="Times New Roman" w:cs="Times New Roman"/>
          <w:kern w:val="0"/>
          <w:lang w:eastAsia="en-GB"/>
          <w14:ligatures w14:val="none"/>
        </w:rPr>
        <w:t xml:space="preserve"> all institutional programs are equally effective: School programs need better targeting and evaluation mechanisms to achieve measurable impact.</w:t>
      </w:r>
    </w:p>
    <w:p w14:paraId="13ED1461" w14:textId="77777777" w:rsidR="003C6751" w:rsidRPr="002D47F3" w:rsidRDefault="003C6751" w:rsidP="00776B39">
      <w:pPr>
        <w:pStyle w:val="NormalWeb"/>
        <w:spacing w:before="0" w:beforeAutospacing="0" w:after="0" w:afterAutospacing="0"/>
        <w:ind w:left="2160"/>
        <w:rPr>
          <w:rFonts w:asciiTheme="minorHAnsi" w:hAnsiTheme="minorHAnsi"/>
          <w:b/>
          <w:bCs/>
        </w:rPr>
      </w:pPr>
    </w:p>
    <w:p w14:paraId="6AD698DA" w14:textId="403AB2FD" w:rsidR="003C6751" w:rsidRPr="002D47F3" w:rsidRDefault="003C6751" w:rsidP="00776B39">
      <w:pPr>
        <w:pStyle w:val="NormalWeb"/>
        <w:numPr>
          <w:ilvl w:val="0"/>
          <w:numId w:val="30"/>
        </w:numPr>
        <w:spacing w:before="0" w:beforeAutospacing="0" w:after="0" w:afterAutospacing="0"/>
        <w:rPr>
          <w:rFonts w:asciiTheme="minorHAnsi" w:hAnsiTheme="minorHAnsi"/>
          <w:b/>
          <w:bCs/>
        </w:rPr>
      </w:pPr>
      <w:r w:rsidRPr="002D47F3">
        <w:rPr>
          <w:rFonts w:asciiTheme="minorHAnsi" w:hAnsiTheme="minorHAnsi"/>
          <w:b/>
          <w:bCs/>
        </w:rPr>
        <w:t>Limitations:</w:t>
      </w:r>
    </w:p>
    <w:p w14:paraId="247A5C2B" w14:textId="34A755A5" w:rsidR="00240EF0" w:rsidRPr="00DD678B" w:rsidRDefault="00240EF0" w:rsidP="00776B39">
      <w:pPr>
        <w:pStyle w:val="ListParagraph"/>
        <w:numPr>
          <w:ilvl w:val="0"/>
          <w:numId w:val="39"/>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t>Data</w:t>
      </w:r>
      <w:r w:rsidRPr="00DD678B">
        <w:rPr>
          <w:rFonts w:eastAsia="Times New Roman" w:cs="Times New Roman"/>
          <w:kern w:val="0"/>
          <w:lang w:eastAsia="en-GB"/>
          <w14:ligatures w14:val="none"/>
        </w:rPr>
        <w:t xml:space="preserve"> Granularity: Many insights are based on yearly or aggregate data; more granular time-series data could enhance pattern detection.</w:t>
      </w:r>
    </w:p>
    <w:p w14:paraId="052E95AC" w14:textId="7F86B339" w:rsidR="00240EF0" w:rsidRPr="00DD678B" w:rsidRDefault="00240EF0" w:rsidP="00776B39">
      <w:pPr>
        <w:pStyle w:val="ListParagraph"/>
        <w:numPr>
          <w:ilvl w:val="0"/>
          <w:numId w:val="39"/>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t>Self</w:t>
      </w:r>
      <w:r w:rsidRPr="00DD678B">
        <w:rPr>
          <w:rFonts w:eastAsia="Times New Roman" w:cs="Times New Roman"/>
          <w:kern w:val="0"/>
          <w:lang w:eastAsia="en-GB"/>
          <w14:ligatures w14:val="none"/>
        </w:rPr>
        <w:t xml:space="preserve">-Reported Bias: The reliance on self-reported measures for sensitive </w:t>
      </w:r>
      <w:r w:rsidR="002D47F3" w:rsidRPr="00DD678B">
        <w:rPr>
          <w:rFonts w:eastAsia="Times New Roman" w:cs="Times New Roman"/>
          <w:kern w:val="0"/>
          <w:lang w:eastAsia="en-GB"/>
          <w14:ligatures w14:val="none"/>
        </w:rPr>
        <w:t>behaviours</w:t>
      </w:r>
      <w:r w:rsidRPr="00DD678B">
        <w:rPr>
          <w:rFonts w:eastAsia="Times New Roman" w:cs="Times New Roman"/>
          <w:kern w:val="0"/>
          <w:lang w:eastAsia="en-GB"/>
          <w14:ligatures w14:val="none"/>
        </w:rPr>
        <w:t xml:space="preserve"> may introduce bias or underreporting.</w:t>
      </w:r>
    </w:p>
    <w:p w14:paraId="673095DD" w14:textId="75C042A5" w:rsidR="00240EF0" w:rsidRPr="00DD678B" w:rsidRDefault="00240EF0" w:rsidP="00776B39">
      <w:pPr>
        <w:pStyle w:val="ListParagraph"/>
        <w:numPr>
          <w:ilvl w:val="0"/>
          <w:numId w:val="39"/>
        </w:numPr>
        <w:spacing w:before="100" w:beforeAutospacing="1" w:after="100" w:afterAutospacing="1" w:line="240" w:lineRule="auto"/>
        <w:rPr>
          <w:rFonts w:eastAsia="Times New Roman" w:cs="Times New Roman"/>
          <w:kern w:val="0"/>
          <w:lang w:eastAsia="en-GB"/>
          <w14:ligatures w14:val="none"/>
        </w:rPr>
      </w:pPr>
      <w:r w:rsidRPr="00DD678B">
        <w:rPr>
          <w:rFonts w:eastAsia="Times New Roman" w:cs="Times New Roman"/>
          <w:kern w:val="0"/>
          <w:lang w:eastAsia="en-GB"/>
          <w14:ligatures w14:val="none"/>
        </w:rPr>
        <w:t>Missing</w:t>
      </w:r>
      <w:r w:rsidRPr="00DD678B">
        <w:rPr>
          <w:rFonts w:eastAsia="Times New Roman" w:cs="Times New Roman"/>
          <w:kern w:val="0"/>
          <w:lang w:eastAsia="en-GB"/>
          <w14:ligatures w14:val="none"/>
        </w:rPr>
        <w:t xml:space="preserve"> or Inconsistent Data: Some sheets had incomplete records or ambiguous labels, requiring assumptions during analysis.</w:t>
      </w:r>
    </w:p>
    <w:p w14:paraId="10B2058E" w14:textId="77777777" w:rsidR="002F3C86" w:rsidRPr="002D47F3" w:rsidRDefault="002F3C86" w:rsidP="00776B39">
      <w:pPr>
        <w:pStyle w:val="NormalWeb"/>
        <w:spacing w:before="0" w:beforeAutospacing="0" w:after="0" w:afterAutospacing="0"/>
        <w:ind w:left="2160"/>
        <w:rPr>
          <w:rFonts w:asciiTheme="minorHAnsi" w:hAnsiTheme="minorHAnsi"/>
          <w:b/>
          <w:bCs/>
        </w:rPr>
      </w:pPr>
    </w:p>
    <w:p w14:paraId="6B0696B7" w14:textId="0A74534B" w:rsidR="002F3C86" w:rsidRPr="002D47F3" w:rsidRDefault="002F3C86" w:rsidP="00776B39">
      <w:pPr>
        <w:pStyle w:val="NormalWeb"/>
        <w:numPr>
          <w:ilvl w:val="0"/>
          <w:numId w:val="30"/>
        </w:numPr>
        <w:spacing w:before="0" w:beforeAutospacing="0" w:after="0" w:afterAutospacing="0"/>
        <w:rPr>
          <w:rFonts w:asciiTheme="minorHAnsi" w:hAnsiTheme="minorHAnsi"/>
          <w:b/>
          <w:bCs/>
        </w:rPr>
      </w:pPr>
      <w:r w:rsidRPr="002D47F3">
        <w:rPr>
          <w:rFonts w:asciiTheme="minorHAnsi" w:hAnsiTheme="minorHAnsi"/>
          <w:b/>
          <w:bCs/>
        </w:rPr>
        <w:t>Future Research:</w:t>
      </w:r>
    </w:p>
    <w:p w14:paraId="03D4C8DB" w14:textId="77777777" w:rsidR="002F3C86" w:rsidRPr="002D47F3" w:rsidRDefault="002F3C86" w:rsidP="00776B39">
      <w:pPr>
        <w:pStyle w:val="NormalWeb"/>
        <w:spacing w:before="0" w:beforeAutospacing="0" w:after="0" w:afterAutospacing="0"/>
        <w:ind w:left="720"/>
        <w:rPr>
          <w:rFonts w:asciiTheme="minorHAnsi" w:hAnsiTheme="minorHAnsi"/>
          <w:b/>
          <w:bCs/>
        </w:rPr>
      </w:pPr>
    </w:p>
    <w:p w14:paraId="31E7613F" w14:textId="30FAC95A" w:rsidR="00DC60B1" w:rsidRPr="002D47F3" w:rsidRDefault="00DC60B1" w:rsidP="00776B39">
      <w:pPr>
        <w:pStyle w:val="ListParagraph"/>
        <w:numPr>
          <w:ilvl w:val="0"/>
          <w:numId w:val="27"/>
        </w:numPr>
        <w:spacing w:line="240" w:lineRule="auto"/>
      </w:pPr>
      <w:r w:rsidRPr="002D47F3">
        <w:t xml:space="preserve">Time-Series </w:t>
      </w:r>
      <w:r w:rsidRPr="002D47F3">
        <w:t>Modelling</w:t>
      </w:r>
      <w:r w:rsidRPr="002D47F3">
        <w:t xml:space="preserve">: Integrate monthly or quarterly data to detect seasonality or real-time </w:t>
      </w:r>
      <w:r w:rsidRPr="002D47F3">
        <w:t>behavioural</w:t>
      </w:r>
      <w:r w:rsidRPr="002D47F3">
        <w:t xml:space="preserve"> shifts.</w:t>
      </w:r>
    </w:p>
    <w:p w14:paraId="148A7CCA" w14:textId="77777777" w:rsidR="00DC60B1" w:rsidRPr="002D47F3" w:rsidRDefault="00DC60B1" w:rsidP="00776B39">
      <w:pPr>
        <w:pStyle w:val="ListParagraph"/>
        <w:numPr>
          <w:ilvl w:val="0"/>
          <w:numId w:val="27"/>
        </w:numPr>
        <w:spacing w:line="240" w:lineRule="auto"/>
      </w:pPr>
      <w:r w:rsidRPr="002D47F3">
        <w:lastRenderedPageBreak/>
        <w:t>Qualitative Analysis: Add interviews or focus group data to contextualize patterns found in quantitative data.</w:t>
      </w:r>
    </w:p>
    <w:p w14:paraId="1FE20F20" w14:textId="56393CBD" w:rsidR="00DC60B1" w:rsidRPr="002D47F3" w:rsidRDefault="00DC60B1" w:rsidP="00776B39">
      <w:pPr>
        <w:pStyle w:val="ListParagraph"/>
        <w:numPr>
          <w:ilvl w:val="0"/>
          <w:numId w:val="27"/>
        </w:numPr>
        <w:spacing w:line="240" w:lineRule="auto"/>
      </w:pPr>
      <w:r w:rsidRPr="002D47F3">
        <w:t xml:space="preserve">Advanced Predictive </w:t>
      </w:r>
      <w:r w:rsidRPr="002D47F3">
        <w:t>Modelling</w:t>
      </w:r>
      <w:r w:rsidRPr="002D47F3">
        <w:t>: Use statistical software or machine learning tools to forecast at-risk individuals or areas.</w:t>
      </w:r>
    </w:p>
    <w:p w14:paraId="3E6B0BE0" w14:textId="77777777" w:rsidR="00DC60B1" w:rsidRPr="002D47F3" w:rsidRDefault="00DC60B1" w:rsidP="00776B39">
      <w:pPr>
        <w:pStyle w:val="ListParagraph"/>
        <w:numPr>
          <w:ilvl w:val="0"/>
          <w:numId w:val="27"/>
        </w:numPr>
        <w:spacing w:line="240" w:lineRule="auto"/>
      </w:pPr>
      <w:r w:rsidRPr="002D47F3">
        <w:t>Cross-Regional Comparisons: Expand dataset to include more regions or schools to validate trends and customize interventions.</w:t>
      </w:r>
    </w:p>
    <w:p w14:paraId="2D40A653" w14:textId="77777777" w:rsidR="00B107B9" w:rsidRPr="002D47F3" w:rsidRDefault="00B107B9" w:rsidP="00776B39">
      <w:pPr>
        <w:spacing w:line="240" w:lineRule="auto"/>
      </w:pPr>
    </w:p>
    <w:p w14:paraId="57DBD9CD" w14:textId="28006E79" w:rsidR="00D84E99" w:rsidRPr="002D47F3" w:rsidRDefault="00D84E99" w:rsidP="00776B39">
      <w:pPr>
        <w:spacing w:line="240" w:lineRule="auto"/>
        <w:rPr>
          <w:b/>
          <w:bCs/>
        </w:rPr>
      </w:pPr>
      <w:r w:rsidRPr="002D47F3">
        <w:rPr>
          <w:b/>
          <w:bCs/>
        </w:rPr>
        <w:t>References &amp; Appendices</w:t>
      </w:r>
    </w:p>
    <w:p w14:paraId="56249FDB" w14:textId="14BAD265" w:rsidR="00D84E99" w:rsidRPr="002D47F3" w:rsidRDefault="00BA3EE4" w:rsidP="00776B39">
      <w:pPr>
        <w:pStyle w:val="ListParagraph"/>
        <w:numPr>
          <w:ilvl w:val="0"/>
          <w:numId w:val="31"/>
        </w:numPr>
        <w:spacing w:line="240" w:lineRule="auto"/>
        <w:rPr>
          <w:b/>
          <w:bCs/>
        </w:rPr>
      </w:pPr>
      <w:r w:rsidRPr="002D47F3">
        <w:rPr>
          <w:b/>
          <w:bCs/>
        </w:rPr>
        <w:t>Data Source:</w:t>
      </w:r>
    </w:p>
    <w:p w14:paraId="773148DA" w14:textId="0D63B9EB" w:rsidR="00BA3EE4" w:rsidRPr="002D47F3" w:rsidRDefault="00BA3EE4" w:rsidP="00776B39">
      <w:pPr>
        <w:pStyle w:val="ListParagraph"/>
        <w:numPr>
          <w:ilvl w:val="0"/>
          <w:numId w:val="27"/>
        </w:numPr>
        <w:spacing w:line="240" w:lineRule="auto"/>
        <w:rPr>
          <w:b/>
          <w:bCs/>
        </w:rPr>
      </w:pPr>
      <w:r w:rsidRPr="002D47F3">
        <w:t>Kaggle.com</w:t>
      </w:r>
    </w:p>
    <w:p w14:paraId="1BB703AD" w14:textId="144F7A56" w:rsidR="000B7CFD" w:rsidRPr="002D47F3" w:rsidRDefault="000B7CFD" w:rsidP="00776B39">
      <w:pPr>
        <w:pStyle w:val="ListParagraph"/>
        <w:numPr>
          <w:ilvl w:val="0"/>
          <w:numId w:val="31"/>
        </w:numPr>
        <w:spacing w:line="240" w:lineRule="auto"/>
        <w:rPr>
          <w:b/>
          <w:bCs/>
        </w:rPr>
      </w:pPr>
      <w:r w:rsidRPr="002D47F3">
        <w:rPr>
          <w:b/>
          <w:bCs/>
        </w:rPr>
        <w:t>Tools:</w:t>
      </w:r>
    </w:p>
    <w:p w14:paraId="67DCCDBC" w14:textId="20905877" w:rsidR="000B7CFD" w:rsidRPr="002D47F3" w:rsidRDefault="000B7CFD" w:rsidP="00776B39">
      <w:pPr>
        <w:pStyle w:val="ListParagraph"/>
        <w:numPr>
          <w:ilvl w:val="0"/>
          <w:numId w:val="27"/>
        </w:numPr>
        <w:spacing w:line="240" w:lineRule="auto"/>
        <w:rPr>
          <w:b/>
          <w:bCs/>
        </w:rPr>
      </w:pPr>
      <w:r w:rsidRPr="002D47F3">
        <w:t>Microsoft Excel</w:t>
      </w:r>
      <w:r w:rsidR="00B1698C" w:rsidRPr="002D47F3">
        <w:t>.</w:t>
      </w:r>
    </w:p>
    <w:p w14:paraId="3B28DE1D" w14:textId="59DA237D" w:rsidR="00B1698C" w:rsidRPr="002D47F3" w:rsidRDefault="00B1698C" w:rsidP="00776B39">
      <w:pPr>
        <w:pStyle w:val="ListParagraph"/>
        <w:numPr>
          <w:ilvl w:val="0"/>
          <w:numId w:val="27"/>
        </w:numPr>
        <w:spacing w:line="240" w:lineRule="auto"/>
        <w:rPr>
          <w:b/>
          <w:bCs/>
        </w:rPr>
      </w:pPr>
      <w:r w:rsidRPr="002D47F3">
        <w:t>Pivot Tables and Pivot Charts.</w:t>
      </w:r>
    </w:p>
    <w:p w14:paraId="77C59853" w14:textId="1B69B1D5" w:rsidR="008C7127" w:rsidRPr="002D47F3" w:rsidRDefault="008C7127" w:rsidP="00776B39">
      <w:pPr>
        <w:spacing w:line="240" w:lineRule="auto"/>
        <w:ind w:left="1418"/>
        <w:rPr>
          <w:b/>
          <w:bCs/>
        </w:rPr>
      </w:pPr>
    </w:p>
    <w:p w14:paraId="10C43FAB" w14:textId="77777777" w:rsidR="0064395C" w:rsidRPr="002D47F3" w:rsidRDefault="0064395C" w:rsidP="00776B39">
      <w:pPr>
        <w:spacing w:line="240" w:lineRule="auto"/>
      </w:pPr>
    </w:p>
    <w:p w14:paraId="43FDF1D7" w14:textId="1BA13228" w:rsidR="008C2117" w:rsidRPr="002D47F3" w:rsidRDefault="008C2117" w:rsidP="00776B39">
      <w:pPr>
        <w:spacing w:line="240" w:lineRule="auto"/>
        <w:rPr>
          <w:b/>
          <w:bCs/>
        </w:rPr>
      </w:pPr>
    </w:p>
    <w:sectPr w:rsidR="008C2117" w:rsidRPr="002D4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581A"/>
    <w:multiLevelType w:val="hybridMultilevel"/>
    <w:tmpl w:val="ADE49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A47B43"/>
    <w:multiLevelType w:val="hybridMultilevel"/>
    <w:tmpl w:val="247E588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06AF1D6C"/>
    <w:multiLevelType w:val="hybridMultilevel"/>
    <w:tmpl w:val="D6CC0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033754"/>
    <w:multiLevelType w:val="hybridMultilevel"/>
    <w:tmpl w:val="B170CB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0D86BA5"/>
    <w:multiLevelType w:val="hybridMultilevel"/>
    <w:tmpl w:val="C03657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4287D18"/>
    <w:multiLevelType w:val="hybridMultilevel"/>
    <w:tmpl w:val="EE8065D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B90B4C"/>
    <w:multiLevelType w:val="hybridMultilevel"/>
    <w:tmpl w:val="3B5239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A863E6C"/>
    <w:multiLevelType w:val="hybridMultilevel"/>
    <w:tmpl w:val="F99462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E2659D1"/>
    <w:multiLevelType w:val="hybridMultilevel"/>
    <w:tmpl w:val="EB0A72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F053DF2"/>
    <w:multiLevelType w:val="hybridMultilevel"/>
    <w:tmpl w:val="74F2F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B23B5A"/>
    <w:multiLevelType w:val="hybridMultilevel"/>
    <w:tmpl w:val="31CA88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2DF786B"/>
    <w:multiLevelType w:val="hybridMultilevel"/>
    <w:tmpl w:val="E32A74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54B6E5A"/>
    <w:multiLevelType w:val="hybridMultilevel"/>
    <w:tmpl w:val="9572A2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8120010"/>
    <w:multiLevelType w:val="hybridMultilevel"/>
    <w:tmpl w:val="393658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9637321"/>
    <w:multiLevelType w:val="multilevel"/>
    <w:tmpl w:val="37DA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561AC1"/>
    <w:multiLevelType w:val="hybridMultilevel"/>
    <w:tmpl w:val="105638CE"/>
    <w:lvl w:ilvl="0" w:tplc="FD0AFBA8">
      <w:start w:val="1"/>
      <w:numFmt w:val="decimal"/>
      <w:lvlText w:val="%1."/>
      <w:lvlJc w:val="left"/>
      <w:pPr>
        <w:ind w:left="1778"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2CFD182D"/>
    <w:multiLevelType w:val="multilevel"/>
    <w:tmpl w:val="78EE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26191"/>
    <w:multiLevelType w:val="hybridMultilevel"/>
    <w:tmpl w:val="9C305F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56C309F"/>
    <w:multiLevelType w:val="multilevel"/>
    <w:tmpl w:val="1046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95342"/>
    <w:multiLevelType w:val="hybridMultilevel"/>
    <w:tmpl w:val="656A07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51F69F4"/>
    <w:multiLevelType w:val="multilevel"/>
    <w:tmpl w:val="0E2C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3F173A"/>
    <w:multiLevelType w:val="hybridMultilevel"/>
    <w:tmpl w:val="AA1C74AC"/>
    <w:lvl w:ilvl="0" w:tplc="0809000F">
      <w:start w:val="1"/>
      <w:numFmt w:val="decimal"/>
      <w:lvlText w:val="%1."/>
      <w:lvlJc w:val="left"/>
      <w:pPr>
        <w:ind w:left="720" w:hanging="360"/>
      </w:pPr>
      <w:rPr>
        <w:rFonts w:hint="default"/>
      </w:rPr>
    </w:lvl>
    <w:lvl w:ilvl="1" w:tplc="668C6FB8">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763C22"/>
    <w:multiLevelType w:val="hybridMultilevel"/>
    <w:tmpl w:val="480C73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E1F39BC"/>
    <w:multiLevelType w:val="hybridMultilevel"/>
    <w:tmpl w:val="B49AF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F36B4E"/>
    <w:multiLevelType w:val="hybridMultilevel"/>
    <w:tmpl w:val="C524937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5" w15:restartNumberingAfterBreak="0">
    <w:nsid w:val="5301036C"/>
    <w:multiLevelType w:val="hybridMultilevel"/>
    <w:tmpl w:val="EE5E46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52E7C5C"/>
    <w:multiLevelType w:val="hybridMultilevel"/>
    <w:tmpl w:val="151EA61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7C72E02"/>
    <w:multiLevelType w:val="hybridMultilevel"/>
    <w:tmpl w:val="6A70B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4D5D74"/>
    <w:multiLevelType w:val="multilevel"/>
    <w:tmpl w:val="EC9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850B84"/>
    <w:multiLevelType w:val="hybridMultilevel"/>
    <w:tmpl w:val="D2D6D2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3D06D48"/>
    <w:multiLevelType w:val="hybridMultilevel"/>
    <w:tmpl w:val="672ED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EE69B2"/>
    <w:multiLevelType w:val="hybridMultilevel"/>
    <w:tmpl w:val="5EBCB0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98B3F73"/>
    <w:multiLevelType w:val="hybridMultilevel"/>
    <w:tmpl w:val="48321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E83935"/>
    <w:multiLevelType w:val="multilevel"/>
    <w:tmpl w:val="CE60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00322"/>
    <w:multiLevelType w:val="hybridMultilevel"/>
    <w:tmpl w:val="37AC4F2A"/>
    <w:lvl w:ilvl="0" w:tplc="B39CE822">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82209B"/>
    <w:multiLevelType w:val="hybridMultilevel"/>
    <w:tmpl w:val="75AEF1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47B7321"/>
    <w:multiLevelType w:val="multilevel"/>
    <w:tmpl w:val="F7C2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6131F8"/>
    <w:multiLevelType w:val="hybridMultilevel"/>
    <w:tmpl w:val="6EB20F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8B624D5"/>
    <w:multiLevelType w:val="hybridMultilevel"/>
    <w:tmpl w:val="CBC852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9" w15:restartNumberingAfterBreak="0">
    <w:nsid w:val="7A3638FD"/>
    <w:multiLevelType w:val="hybridMultilevel"/>
    <w:tmpl w:val="E5CEBA7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0" w15:restartNumberingAfterBreak="0">
    <w:nsid w:val="7B8E59F9"/>
    <w:multiLevelType w:val="hybridMultilevel"/>
    <w:tmpl w:val="1D98D89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C307F1A"/>
    <w:multiLevelType w:val="hybridMultilevel"/>
    <w:tmpl w:val="C00E5F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D643BB7"/>
    <w:multiLevelType w:val="hybridMultilevel"/>
    <w:tmpl w:val="7DEE9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661086"/>
    <w:multiLevelType w:val="hybridMultilevel"/>
    <w:tmpl w:val="1174D8D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16cid:durableId="478616868">
    <w:abstractNumId w:val="9"/>
  </w:num>
  <w:num w:numId="2" w16cid:durableId="1595699170">
    <w:abstractNumId w:val="34"/>
  </w:num>
  <w:num w:numId="3" w16cid:durableId="1428651433">
    <w:abstractNumId w:val="11"/>
  </w:num>
  <w:num w:numId="4" w16cid:durableId="2031181253">
    <w:abstractNumId w:val="3"/>
  </w:num>
  <w:num w:numId="5" w16cid:durableId="725883399">
    <w:abstractNumId w:val="12"/>
  </w:num>
  <w:num w:numId="6" w16cid:durableId="2017148600">
    <w:abstractNumId w:val="25"/>
  </w:num>
  <w:num w:numId="7" w16cid:durableId="535235268">
    <w:abstractNumId w:val="42"/>
  </w:num>
  <w:num w:numId="8" w16cid:durableId="416098859">
    <w:abstractNumId w:val="41"/>
  </w:num>
  <w:num w:numId="9" w16cid:durableId="2089963804">
    <w:abstractNumId w:val="35"/>
  </w:num>
  <w:num w:numId="10" w16cid:durableId="1648893910">
    <w:abstractNumId w:val="15"/>
  </w:num>
  <w:num w:numId="11" w16cid:durableId="1521117060">
    <w:abstractNumId w:val="1"/>
  </w:num>
  <w:num w:numId="12" w16cid:durableId="954865534">
    <w:abstractNumId w:val="39"/>
  </w:num>
  <w:num w:numId="13" w16cid:durableId="1234241741">
    <w:abstractNumId w:val="24"/>
  </w:num>
  <w:num w:numId="14" w16cid:durableId="889460806">
    <w:abstractNumId w:val="43"/>
  </w:num>
  <w:num w:numId="15" w16cid:durableId="1877153289">
    <w:abstractNumId w:val="4"/>
  </w:num>
  <w:num w:numId="16" w16cid:durableId="2144733981">
    <w:abstractNumId w:val="6"/>
  </w:num>
  <w:num w:numId="17" w16cid:durableId="483090493">
    <w:abstractNumId w:val="21"/>
  </w:num>
  <w:num w:numId="18" w16cid:durableId="1745298921">
    <w:abstractNumId w:val="10"/>
  </w:num>
  <w:num w:numId="19" w16cid:durableId="971717195">
    <w:abstractNumId w:val="2"/>
  </w:num>
  <w:num w:numId="20" w16cid:durableId="1264653498">
    <w:abstractNumId w:val="30"/>
  </w:num>
  <w:num w:numId="21" w16cid:durableId="651526126">
    <w:abstractNumId w:val="8"/>
  </w:num>
  <w:num w:numId="22" w16cid:durableId="149441068">
    <w:abstractNumId w:val="19"/>
  </w:num>
  <w:num w:numId="23" w16cid:durableId="1740522450">
    <w:abstractNumId w:val="32"/>
  </w:num>
  <w:num w:numId="24" w16cid:durableId="1675569487">
    <w:abstractNumId w:val="31"/>
  </w:num>
  <w:num w:numId="25" w16cid:durableId="927156305">
    <w:abstractNumId w:val="7"/>
  </w:num>
  <w:num w:numId="26" w16cid:durableId="1261717558">
    <w:abstractNumId w:val="5"/>
  </w:num>
  <w:num w:numId="27" w16cid:durableId="656736612">
    <w:abstractNumId w:val="38"/>
  </w:num>
  <w:num w:numId="28" w16cid:durableId="1116824673">
    <w:abstractNumId w:val="27"/>
  </w:num>
  <w:num w:numId="29" w16cid:durableId="655842965">
    <w:abstractNumId w:val="0"/>
  </w:num>
  <w:num w:numId="30" w16cid:durableId="1387950825">
    <w:abstractNumId w:val="37"/>
  </w:num>
  <w:num w:numId="31" w16cid:durableId="103884761">
    <w:abstractNumId w:val="23"/>
  </w:num>
  <w:num w:numId="32" w16cid:durableId="35010476">
    <w:abstractNumId w:val="20"/>
  </w:num>
  <w:num w:numId="33" w16cid:durableId="1523323989">
    <w:abstractNumId w:val="28"/>
  </w:num>
  <w:num w:numId="34" w16cid:durableId="1973321671">
    <w:abstractNumId w:val="14"/>
  </w:num>
  <w:num w:numId="35" w16cid:durableId="616638961">
    <w:abstractNumId w:val="36"/>
  </w:num>
  <w:num w:numId="36" w16cid:durableId="79839285">
    <w:abstractNumId w:val="16"/>
  </w:num>
  <w:num w:numId="37" w16cid:durableId="342244758">
    <w:abstractNumId w:val="18"/>
  </w:num>
  <w:num w:numId="38" w16cid:durableId="2005156634">
    <w:abstractNumId w:val="33"/>
  </w:num>
  <w:num w:numId="39" w16cid:durableId="1447850286">
    <w:abstractNumId w:val="17"/>
  </w:num>
  <w:num w:numId="40" w16cid:durableId="1302882705">
    <w:abstractNumId w:val="13"/>
  </w:num>
  <w:num w:numId="41" w16cid:durableId="1125470174">
    <w:abstractNumId w:val="22"/>
  </w:num>
  <w:num w:numId="42" w16cid:durableId="1557934847">
    <w:abstractNumId w:val="40"/>
  </w:num>
  <w:num w:numId="43" w16cid:durableId="392047635">
    <w:abstractNumId w:val="26"/>
  </w:num>
  <w:num w:numId="44" w16cid:durableId="45201529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FB"/>
    <w:rsid w:val="000409E6"/>
    <w:rsid w:val="00043795"/>
    <w:rsid w:val="00056D15"/>
    <w:rsid w:val="000B7CFD"/>
    <w:rsid w:val="000C0CD4"/>
    <w:rsid w:val="000C185F"/>
    <w:rsid w:val="00121ED4"/>
    <w:rsid w:val="00124847"/>
    <w:rsid w:val="00135369"/>
    <w:rsid w:val="00151ADB"/>
    <w:rsid w:val="00187621"/>
    <w:rsid w:val="001979FE"/>
    <w:rsid w:val="001B6226"/>
    <w:rsid w:val="001C29BC"/>
    <w:rsid w:val="001E5B0B"/>
    <w:rsid w:val="001F6CFC"/>
    <w:rsid w:val="00214E3D"/>
    <w:rsid w:val="00240EF0"/>
    <w:rsid w:val="00245E1B"/>
    <w:rsid w:val="002661D0"/>
    <w:rsid w:val="0026664B"/>
    <w:rsid w:val="00293D39"/>
    <w:rsid w:val="002B1486"/>
    <w:rsid w:val="002B222E"/>
    <w:rsid w:val="002C2DFB"/>
    <w:rsid w:val="002D47F3"/>
    <w:rsid w:val="002F3C86"/>
    <w:rsid w:val="00307DA9"/>
    <w:rsid w:val="00323A8D"/>
    <w:rsid w:val="003268B1"/>
    <w:rsid w:val="00363330"/>
    <w:rsid w:val="00386C14"/>
    <w:rsid w:val="003A4AC1"/>
    <w:rsid w:val="003C6751"/>
    <w:rsid w:val="003D5359"/>
    <w:rsid w:val="003D6060"/>
    <w:rsid w:val="00403D36"/>
    <w:rsid w:val="00415F43"/>
    <w:rsid w:val="00434B7D"/>
    <w:rsid w:val="00434FAD"/>
    <w:rsid w:val="00440EA0"/>
    <w:rsid w:val="004511EC"/>
    <w:rsid w:val="00464751"/>
    <w:rsid w:val="00472B05"/>
    <w:rsid w:val="004F0C43"/>
    <w:rsid w:val="004F76FB"/>
    <w:rsid w:val="00503678"/>
    <w:rsid w:val="005125D1"/>
    <w:rsid w:val="00535488"/>
    <w:rsid w:val="005829EF"/>
    <w:rsid w:val="00593D4F"/>
    <w:rsid w:val="005B62D8"/>
    <w:rsid w:val="005D41EE"/>
    <w:rsid w:val="005D7730"/>
    <w:rsid w:val="005E777B"/>
    <w:rsid w:val="00621784"/>
    <w:rsid w:val="0064395C"/>
    <w:rsid w:val="006502EA"/>
    <w:rsid w:val="00687292"/>
    <w:rsid w:val="006A1A63"/>
    <w:rsid w:val="006B3622"/>
    <w:rsid w:val="006B5877"/>
    <w:rsid w:val="006C787C"/>
    <w:rsid w:val="006C78A0"/>
    <w:rsid w:val="007015E1"/>
    <w:rsid w:val="00704CC7"/>
    <w:rsid w:val="00714558"/>
    <w:rsid w:val="00740AD5"/>
    <w:rsid w:val="007432DF"/>
    <w:rsid w:val="007561E2"/>
    <w:rsid w:val="007741B8"/>
    <w:rsid w:val="00776B39"/>
    <w:rsid w:val="00784752"/>
    <w:rsid w:val="007E1CF3"/>
    <w:rsid w:val="007E48AB"/>
    <w:rsid w:val="00806AC1"/>
    <w:rsid w:val="008110D2"/>
    <w:rsid w:val="00812633"/>
    <w:rsid w:val="00865746"/>
    <w:rsid w:val="008840FA"/>
    <w:rsid w:val="0088699A"/>
    <w:rsid w:val="008A52B9"/>
    <w:rsid w:val="008A63CB"/>
    <w:rsid w:val="008B1A11"/>
    <w:rsid w:val="008C2117"/>
    <w:rsid w:val="008C7127"/>
    <w:rsid w:val="008D61C5"/>
    <w:rsid w:val="008E01B2"/>
    <w:rsid w:val="008F4BFE"/>
    <w:rsid w:val="00916120"/>
    <w:rsid w:val="0093086B"/>
    <w:rsid w:val="00951AE6"/>
    <w:rsid w:val="00994CFA"/>
    <w:rsid w:val="009A521B"/>
    <w:rsid w:val="009A66F1"/>
    <w:rsid w:val="009B68DE"/>
    <w:rsid w:val="009E6996"/>
    <w:rsid w:val="009F0BA3"/>
    <w:rsid w:val="00A033FB"/>
    <w:rsid w:val="00A03AFC"/>
    <w:rsid w:val="00A1117D"/>
    <w:rsid w:val="00A16357"/>
    <w:rsid w:val="00A43B71"/>
    <w:rsid w:val="00A562E2"/>
    <w:rsid w:val="00A64014"/>
    <w:rsid w:val="00A65D87"/>
    <w:rsid w:val="00A937EE"/>
    <w:rsid w:val="00AB410B"/>
    <w:rsid w:val="00AB611A"/>
    <w:rsid w:val="00AC5746"/>
    <w:rsid w:val="00AC60FD"/>
    <w:rsid w:val="00AD4A25"/>
    <w:rsid w:val="00AF6CFC"/>
    <w:rsid w:val="00B107B9"/>
    <w:rsid w:val="00B1698C"/>
    <w:rsid w:val="00B61BD2"/>
    <w:rsid w:val="00BA1E59"/>
    <w:rsid w:val="00BA3EE4"/>
    <w:rsid w:val="00BB200C"/>
    <w:rsid w:val="00C15D4E"/>
    <w:rsid w:val="00C34334"/>
    <w:rsid w:val="00C37C5F"/>
    <w:rsid w:val="00C46902"/>
    <w:rsid w:val="00C512D6"/>
    <w:rsid w:val="00C671F0"/>
    <w:rsid w:val="00C71F11"/>
    <w:rsid w:val="00C77B8D"/>
    <w:rsid w:val="00CA231A"/>
    <w:rsid w:val="00CB68C6"/>
    <w:rsid w:val="00D07995"/>
    <w:rsid w:val="00D157C9"/>
    <w:rsid w:val="00D4061A"/>
    <w:rsid w:val="00D50C86"/>
    <w:rsid w:val="00D5377F"/>
    <w:rsid w:val="00D61B27"/>
    <w:rsid w:val="00D7414B"/>
    <w:rsid w:val="00D82387"/>
    <w:rsid w:val="00D84E99"/>
    <w:rsid w:val="00D9730C"/>
    <w:rsid w:val="00DC09FC"/>
    <w:rsid w:val="00DC440B"/>
    <w:rsid w:val="00DC60B1"/>
    <w:rsid w:val="00DD678B"/>
    <w:rsid w:val="00E07CEF"/>
    <w:rsid w:val="00E34278"/>
    <w:rsid w:val="00E400D6"/>
    <w:rsid w:val="00E43FD6"/>
    <w:rsid w:val="00E72D38"/>
    <w:rsid w:val="00E82216"/>
    <w:rsid w:val="00E95102"/>
    <w:rsid w:val="00EA1300"/>
    <w:rsid w:val="00EA2503"/>
    <w:rsid w:val="00EA4946"/>
    <w:rsid w:val="00EE05A3"/>
    <w:rsid w:val="00EE17DE"/>
    <w:rsid w:val="00F11CFE"/>
    <w:rsid w:val="00F32122"/>
    <w:rsid w:val="00F754A2"/>
    <w:rsid w:val="00F778EE"/>
    <w:rsid w:val="00F876E8"/>
    <w:rsid w:val="00FA08C1"/>
    <w:rsid w:val="00FB47D1"/>
    <w:rsid w:val="00FC37E4"/>
    <w:rsid w:val="00FE4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6893"/>
  <w15:chartTrackingRefBased/>
  <w15:docId w15:val="{E7529AD9-4FBF-49D3-9009-FAB46C14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DFB"/>
    <w:rPr>
      <w:rFonts w:eastAsiaTheme="majorEastAsia" w:cstheme="majorBidi"/>
      <w:color w:val="272727" w:themeColor="text1" w:themeTint="D8"/>
    </w:rPr>
  </w:style>
  <w:style w:type="paragraph" w:styleId="Title">
    <w:name w:val="Title"/>
    <w:basedOn w:val="Normal"/>
    <w:next w:val="Normal"/>
    <w:link w:val="TitleChar"/>
    <w:uiPriority w:val="10"/>
    <w:qFormat/>
    <w:rsid w:val="002C2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DFB"/>
    <w:pPr>
      <w:spacing w:before="160"/>
      <w:jc w:val="center"/>
    </w:pPr>
    <w:rPr>
      <w:i/>
      <w:iCs/>
      <w:color w:val="404040" w:themeColor="text1" w:themeTint="BF"/>
    </w:rPr>
  </w:style>
  <w:style w:type="character" w:customStyle="1" w:styleId="QuoteChar">
    <w:name w:val="Quote Char"/>
    <w:basedOn w:val="DefaultParagraphFont"/>
    <w:link w:val="Quote"/>
    <w:uiPriority w:val="29"/>
    <w:rsid w:val="002C2DFB"/>
    <w:rPr>
      <w:i/>
      <w:iCs/>
      <w:color w:val="404040" w:themeColor="text1" w:themeTint="BF"/>
    </w:rPr>
  </w:style>
  <w:style w:type="paragraph" w:styleId="ListParagraph">
    <w:name w:val="List Paragraph"/>
    <w:basedOn w:val="Normal"/>
    <w:uiPriority w:val="34"/>
    <w:qFormat/>
    <w:rsid w:val="002C2DFB"/>
    <w:pPr>
      <w:ind w:left="720"/>
      <w:contextualSpacing/>
    </w:pPr>
  </w:style>
  <w:style w:type="character" w:styleId="IntenseEmphasis">
    <w:name w:val="Intense Emphasis"/>
    <w:basedOn w:val="DefaultParagraphFont"/>
    <w:uiPriority w:val="21"/>
    <w:qFormat/>
    <w:rsid w:val="002C2DFB"/>
    <w:rPr>
      <w:i/>
      <w:iCs/>
      <w:color w:val="0F4761" w:themeColor="accent1" w:themeShade="BF"/>
    </w:rPr>
  </w:style>
  <w:style w:type="paragraph" w:styleId="IntenseQuote">
    <w:name w:val="Intense Quote"/>
    <w:basedOn w:val="Normal"/>
    <w:next w:val="Normal"/>
    <w:link w:val="IntenseQuoteChar"/>
    <w:uiPriority w:val="30"/>
    <w:qFormat/>
    <w:rsid w:val="002C2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DFB"/>
    <w:rPr>
      <w:i/>
      <w:iCs/>
      <w:color w:val="0F4761" w:themeColor="accent1" w:themeShade="BF"/>
    </w:rPr>
  </w:style>
  <w:style w:type="character" w:styleId="IntenseReference">
    <w:name w:val="Intense Reference"/>
    <w:basedOn w:val="DefaultParagraphFont"/>
    <w:uiPriority w:val="32"/>
    <w:qFormat/>
    <w:rsid w:val="002C2DFB"/>
    <w:rPr>
      <w:b/>
      <w:bCs/>
      <w:smallCaps/>
      <w:color w:val="0F4761" w:themeColor="accent1" w:themeShade="BF"/>
      <w:spacing w:val="5"/>
    </w:rPr>
  </w:style>
  <w:style w:type="paragraph" w:styleId="NormalWeb">
    <w:name w:val="Normal (Web)"/>
    <w:basedOn w:val="Normal"/>
    <w:uiPriority w:val="99"/>
    <w:semiHidden/>
    <w:unhideWhenUsed/>
    <w:rsid w:val="00E9510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A64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511EC"/>
    <w:rPr>
      <w:b/>
      <w:bCs/>
    </w:rPr>
  </w:style>
  <w:style w:type="character" w:styleId="HTMLCode">
    <w:name w:val="HTML Code"/>
    <w:basedOn w:val="DefaultParagraphFont"/>
    <w:uiPriority w:val="99"/>
    <w:semiHidden/>
    <w:unhideWhenUsed/>
    <w:rsid w:val="005354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5396">
      <w:bodyDiv w:val="1"/>
      <w:marLeft w:val="0"/>
      <w:marRight w:val="0"/>
      <w:marTop w:val="0"/>
      <w:marBottom w:val="0"/>
      <w:divBdr>
        <w:top w:val="none" w:sz="0" w:space="0" w:color="auto"/>
        <w:left w:val="none" w:sz="0" w:space="0" w:color="auto"/>
        <w:bottom w:val="none" w:sz="0" w:space="0" w:color="auto"/>
        <w:right w:val="none" w:sz="0" w:space="0" w:color="auto"/>
      </w:divBdr>
    </w:div>
    <w:div w:id="161093262">
      <w:bodyDiv w:val="1"/>
      <w:marLeft w:val="0"/>
      <w:marRight w:val="0"/>
      <w:marTop w:val="0"/>
      <w:marBottom w:val="0"/>
      <w:divBdr>
        <w:top w:val="none" w:sz="0" w:space="0" w:color="auto"/>
        <w:left w:val="none" w:sz="0" w:space="0" w:color="auto"/>
        <w:bottom w:val="none" w:sz="0" w:space="0" w:color="auto"/>
        <w:right w:val="none" w:sz="0" w:space="0" w:color="auto"/>
      </w:divBdr>
    </w:div>
    <w:div w:id="282199640">
      <w:bodyDiv w:val="1"/>
      <w:marLeft w:val="0"/>
      <w:marRight w:val="0"/>
      <w:marTop w:val="0"/>
      <w:marBottom w:val="0"/>
      <w:divBdr>
        <w:top w:val="none" w:sz="0" w:space="0" w:color="auto"/>
        <w:left w:val="none" w:sz="0" w:space="0" w:color="auto"/>
        <w:bottom w:val="none" w:sz="0" w:space="0" w:color="auto"/>
        <w:right w:val="none" w:sz="0" w:space="0" w:color="auto"/>
      </w:divBdr>
    </w:div>
    <w:div w:id="304969876">
      <w:bodyDiv w:val="1"/>
      <w:marLeft w:val="0"/>
      <w:marRight w:val="0"/>
      <w:marTop w:val="0"/>
      <w:marBottom w:val="0"/>
      <w:divBdr>
        <w:top w:val="none" w:sz="0" w:space="0" w:color="auto"/>
        <w:left w:val="none" w:sz="0" w:space="0" w:color="auto"/>
        <w:bottom w:val="none" w:sz="0" w:space="0" w:color="auto"/>
        <w:right w:val="none" w:sz="0" w:space="0" w:color="auto"/>
      </w:divBdr>
    </w:div>
    <w:div w:id="564725705">
      <w:bodyDiv w:val="1"/>
      <w:marLeft w:val="0"/>
      <w:marRight w:val="0"/>
      <w:marTop w:val="0"/>
      <w:marBottom w:val="0"/>
      <w:divBdr>
        <w:top w:val="none" w:sz="0" w:space="0" w:color="auto"/>
        <w:left w:val="none" w:sz="0" w:space="0" w:color="auto"/>
        <w:bottom w:val="none" w:sz="0" w:space="0" w:color="auto"/>
        <w:right w:val="none" w:sz="0" w:space="0" w:color="auto"/>
      </w:divBdr>
    </w:div>
    <w:div w:id="572545977">
      <w:bodyDiv w:val="1"/>
      <w:marLeft w:val="0"/>
      <w:marRight w:val="0"/>
      <w:marTop w:val="0"/>
      <w:marBottom w:val="0"/>
      <w:divBdr>
        <w:top w:val="none" w:sz="0" w:space="0" w:color="auto"/>
        <w:left w:val="none" w:sz="0" w:space="0" w:color="auto"/>
        <w:bottom w:val="none" w:sz="0" w:space="0" w:color="auto"/>
        <w:right w:val="none" w:sz="0" w:space="0" w:color="auto"/>
      </w:divBdr>
    </w:div>
    <w:div w:id="644505407">
      <w:bodyDiv w:val="1"/>
      <w:marLeft w:val="0"/>
      <w:marRight w:val="0"/>
      <w:marTop w:val="0"/>
      <w:marBottom w:val="0"/>
      <w:divBdr>
        <w:top w:val="none" w:sz="0" w:space="0" w:color="auto"/>
        <w:left w:val="none" w:sz="0" w:space="0" w:color="auto"/>
        <w:bottom w:val="none" w:sz="0" w:space="0" w:color="auto"/>
        <w:right w:val="none" w:sz="0" w:space="0" w:color="auto"/>
      </w:divBdr>
    </w:div>
    <w:div w:id="685402129">
      <w:bodyDiv w:val="1"/>
      <w:marLeft w:val="0"/>
      <w:marRight w:val="0"/>
      <w:marTop w:val="0"/>
      <w:marBottom w:val="0"/>
      <w:divBdr>
        <w:top w:val="none" w:sz="0" w:space="0" w:color="auto"/>
        <w:left w:val="none" w:sz="0" w:space="0" w:color="auto"/>
        <w:bottom w:val="none" w:sz="0" w:space="0" w:color="auto"/>
        <w:right w:val="none" w:sz="0" w:space="0" w:color="auto"/>
      </w:divBdr>
    </w:div>
    <w:div w:id="707484950">
      <w:bodyDiv w:val="1"/>
      <w:marLeft w:val="0"/>
      <w:marRight w:val="0"/>
      <w:marTop w:val="0"/>
      <w:marBottom w:val="0"/>
      <w:divBdr>
        <w:top w:val="none" w:sz="0" w:space="0" w:color="auto"/>
        <w:left w:val="none" w:sz="0" w:space="0" w:color="auto"/>
        <w:bottom w:val="none" w:sz="0" w:space="0" w:color="auto"/>
        <w:right w:val="none" w:sz="0" w:space="0" w:color="auto"/>
      </w:divBdr>
    </w:div>
    <w:div w:id="832064144">
      <w:bodyDiv w:val="1"/>
      <w:marLeft w:val="0"/>
      <w:marRight w:val="0"/>
      <w:marTop w:val="0"/>
      <w:marBottom w:val="0"/>
      <w:divBdr>
        <w:top w:val="none" w:sz="0" w:space="0" w:color="auto"/>
        <w:left w:val="none" w:sz="0" w:space="0" w:color="auto"/>
        <w:bottom w:val="none" w:sz="0" w:space="0" w:color="auto"/>
        <w:right w:val="none" w:sz="0" w:space="0" w:color="auto"/>
      </w:divBdr>
    </w:div>
    <w:div w:id="1015379644">
      <w:bodyDiv w:val="1"/>
      <w:marLeft w:val="0"/>
      <w:marRight w:val="0"/>
      <w:marTop w:val="0"/>
      <w:marBottom w:val="0"/>
      <w:divBdr>
        <w:top w:val="none" w:sz="0" w:space="0" w:color="auto"/>
        <w:left w:val="none" w:sz="0" w:space="0" w:color="auto"/>
        <w:bottom w:val="none" w:sz="0" w:space="0" w:color="auto"/>
        <w:right w:val="none" w:sz="0" w:space="0" w:color="auto"/>
      </w:divBdr>
    </w:div>
    <w:div w:id="1096439121">
      <w:bodyDiv w:val="1"/>
      <w:marLeft w:val="0"/>
      <w:marRight w:val="0"/>
      <w:marTop w:val="0"/>
      <w:marBottom w:val="0"/>
      <w:divBdr>
        <w:top w:val="none" w:sz="0" w:space="0" w:color="auto"/>
        <w:left w:val="none" w:sz="0" w:space="0" w:color="auto"/>
        <w:bottom w:val="none" w:sz="0" w:space="0" w:color="auto"/>
        <w:right w:val="none" w:sz="0" w:space="0" w:color="auto"/>
      </w:divBdr>
    </w:div>
    <w:div w:id="1112893396">
      <w:bodyDiv w:val="1"/>
      <w:marLeft w:val="0"/>
      <w:marRight w:val="0"/>
      <w:marTop w:val="0"/>
      <w:marBottom w:val="0"/>
      <w:divBdr>
        <w:top w:val="none" w:sz="0" w:space="0" w:color="auto"/>
        <w:left w:val="none" w:sz="0" w:space="0" w:color="auto"/>
        <w:bottom w:val="none" w:sz="0" w:space="0" w:color="auto"/>
        <w:right w:val="none" w:sz="0" w:space="0" w:color="auto"/>
      </w:divBdr>
    </w:div>
    <w:div w:id="1132021500">
      <w:bodyDiv w:val="1"/>
      <w:marLeft w:val="0"/>
      <w:marRight w:val="0"/>
      <w:marTop w:val="0"/>
      <w:marBottom w:val="0"/>
      <w:divBdr>
        <w:top w:val="none" w:sz="0" w:space="0" w:color="auto"/>
        <w:left w:val="none" w:sz="0" w:space="0" w:color="auto"/>
        <w:bottom w:val="none" w:sz="0" w:space="0" w:color="auto"/>
        <w:right w:val="none" w:sz="0" w:space="0" w:color="auto"/>
      </w:divBdr>
    </w:div>
    <w:div w:id="1166936190">
      <w:bodyDiv w:val="1"/>
      <w:marLeft w:val="0"/>
      <w:marRight w:val="0"/>
      <w:marTop w:val="0"/>
      <w:marBottom w:val="0"/>
      <w:divBdr>
        <w:top w:val="none" w:sz="0" w:space="0" w:color="auto"/>
        <w:left w:val="none" w:sz="0" w:space="0" w:color="auto"/>
        <w:bottom w:val="none" w:sz="0" w:space="0" w:color="auto"/>
        <w:right w:val="none" w:sz="0" w:space="0" w:color="auto"/>
      </w:divBdr>
    </w:div>
    <w:div w:id="1184199827">
      <w:bodyDiv w:val="1"/>
      <w:marLeft w:val="0"/>
      <w:marRight w:val="0"/>
      <w:marTop w:val="0"/>
      <w:marBottom w:val="0"/>
      <w:divBdr>
        <w:top w:val="none" w:sz="0" w:space="0" w:color="auto"/>
        <w:left w:val="none" w:sz="0" w:space="0" w:color="auto"/>
        <w:bottom w:val="none" w:sz="0" w:space="0" w:color="auto"/>
        <w:right w:val="none" w:sz="0" w:space="0" w:color="auto"/>
      </w:divBdr>
    </w:div>
    <w:div w:id="1424958714">
      <w:bodyDiv w:val="1"/>
      <w:marLeft w:val="0"/>
      <w:marRight w:val="0"/>
      <w:marTop w:val="0"/>
      <w:marBottom w:val="0"/>
      <w:divBdr>
        <w:top w:val="none" w:sz="0" w:space="0" w:color="auto"/>
        <w:left w:val="none" w:sz="0" w:space="0" w:color="auto"/>
        <w:bottom w:val="none" w:sz="0" w:space="0" w:color="auto"/>
        <w:right w:val="none" w:sz="0" w:space="0" w:color="auto"/>
      </w:divBdr>
    </w:div>
    <w:div w:id="1462651750">
      <w:bodyDiv w:val="1"/>
      <w:marLeft w:val="0"/>
      <w:marRight w:val="0"/>
      <w:marTop w:val="0"/>
      <w:marBottom w:val="0"/>
      <w:divBdr>
        <w:top w:val="none" w:sz="0" w:space="0" w:color="auto"/>
        <w:left w:val="none" w:sz="0" w:space="0" w:color="auto"/>
        <w:bottom w:val="none" w:sz="0" w:space="0" w:color="auto"/>
        <w:right w:val="none" w:sz="0" w:space="0" w:color="auto"/>
      </w:divBdr>
    </w:div>
    <w:div w:id="1568108220">
      <w:bodyDiv w:val="1"/>
      <w:marLeft w:val="0"/>
      <w:marRight w:val="0"/>
      <w:marTop w:val="0"/>
      <w:marBottom w:val="0"/>
      <w:divBdr>
        <w:top w:val="none" w:sz="0" w:space="0" w:color="auto"/>
        <w:left w:val="none" w:sz="0" w:space="0" w:color="auto"/>
        <w:bottom w:val="none" w:sz="0" w:space="0" w:color="auto"/>
        <w:right w:val="none" w:sz="0" w:space="0" w:color="auto"/>
      </w:divBdr>
    </w:div>
    <w:div w:id="1698458709">
      <w:bodyDiv w:val="1"/>
      <w:marLeft w:val="0"/>
      <w:marRight w:val="0"/>
      <w:marTop w:val="0"/>
      <w:marBottom w:val="0"/>
      <w:divBdr>
        <w:top w:val="none" w:sz="0" w:space="0" w:color="auto"/>
        <w:left w:val="none" w:sz="0" w:space="0" w:color="auto"/>
        <w:bottom w:val="none" w:sz="0" w:space="0" w:color="auto"/>
        <w:right w:val="none" w:sz="0" w:space="0" w:color="auto"/>
      </w:divBdr>
    </w:div>
    <w:div w:id="1739396409">
      <w:bodyDiv w:val="1"/>
      <w:marLeft w:val="0"/>
      <w:marRight w:val="0"/>
      <w:marTop w:val="0"/>
      <w:marBottom w:val="0"/>
      <w:divBdr>
        <w:top w:val="none" w:sz="0" w:space="0" w:color="auto"/>
        <w:left w:val="none" w:sz="0" w:space="0" w:color="auto"/>
        <w:bottom w:val="none" w:sz="0" w:space="0" w:color="auto"/>
        <w:right w:val="none" w:sz="0" w:space="0" w:color="auto"/>
      </w:divBdr>
    </w:div>
    <w:div w:id="1791119609">
      <w:bodyDiv w:val="1"/>
      <w:marLeft w:val="0"/>
      <w:marRight w:val="0"/>
      <w:marTop w:val="0"/>
      <w:marBottom w:val="0"/>
      <w:divBdr>
        <w:top w:val="none" w:sz="0" w:space="0" w:color="auto"/>
        <w:left w:val="none" w:sz="0" w:space="0" w:color="auto"/>
        <w:bottom w:val="none" w:sz="0" w:space="0" w:color="auto"/>
        <w:right w:val="none" w:sz="0" w:space="0" w:color="auto"/>
      </w:divBdr>
    </w:div>
    <w:div w:id="1904219200">
      <w:bodyDiv w:val="1"/>
      <w:marLeft w:val="0"/>
      <w:marRight w:val="0"/>
      <w:marTop w:val="0"/>
      <w:marBottom w:val="0"/>
      <w:divBdr>
        <w:top w:val="none" w:sz="0" w:space="0" w:color="auto"/>
        <w:left w:val="none" w:sz="0" w:space="0" w:color="auto"/>
        <w:bottom w:val="none" w:sz="0" w:space="0" w:color="auto"/>
        <w:right w:val="none" w:sz="0" w:space="0" w:color="auto"/>
      </w:divBdr>
    </w:div>
    <w:div w:id="1912235579">
      <w:bodyDiv w:val="1"/>
      <w:marLeft w:val="0"/>
      <w:marRight w:val="0"/>
      <w:marTop w:val="0"/>
      <w:marBottom w:val="0"/>
      <w:divBdr>
        <w:top w:val="none" w:sz="0" w:space="0" w:color="auto"/>
        <w:left w:val="none" w:sz="0" w:space="0" w:color="auto"/>
        <w:bottom w:val="none" w:sz="0" w:space="0" w:color="auto"/>
        <w:right w:val="none" w:sz="0" w:space="0" w:color="auto"/>
      </w:divBdr>
    </w:div>
    <w:div w:id="1924685097">
      <w:bodyDiv w:val="1"/>
      <w:marLeft w:val="0"/>
      <w:marRight w:val="0"/>
      <w:marTop w:val="0"/>
      <w:marBottom w:val="0"/>
      <w:divBdr>
        <w:top w:val="none" w:sz="0" w:space="0" w:color="auto"/>
        <w:left w:val="none" w:sz="0" w:space="0" w:color="auto"/>
        <w:bottom w:val="none" w:sz="0" w:space="0" w:color="auto"/>
        <w:right w:val="none" w:sz="0" w:space="0" w:color="auto"/>
      </w:divBdr>
    </w:div>
    <w:div w:id="1926760352">
      <w:bodyDiv w:val="1"/>
      <w:marLeft w:val="0"/>
      <w:marRight w:val="0"/>
      <w:marTop w:val="0"/>
      <w:marBottom w:val="0"/>
      <w:divBdr>
        <w:top w:val="none" w:sz="0" w:space="0" w:color="auto"/>
        <w:left w:val="none" w:sz="0" w:space="0" w:color="auto"/>
        <w:bottom w:val="none" w:sz="0" w:space="0" w:color="auto"/>
        <w:right w:val="none" w:sz="0" w:space="0" w:color="auto"/>
      </w:divBdr>
    </w:div>
    <w:div w:id="1962762045">
      <w:bodyDiv w:val="1"/>
      <w:marLeft w:val="0"/>
      <w:marRight w:val="0"/>
      <w:marTop w:val="0"/>
      <w:marBottom w:val="0"/>
      <w:divBdr>
        <w:top w:val="none" w:sz="0" w:space="0" w:color="auto"/>
        <w:left w:val="none" w:sz="0" w:space="0" w:color="auto"/>
        <w:bottom w:val="none" w:sz="0" w:space="0" w:color="auto"/>
        <w:right w:val="none" w:sz="0" w:space="0" w:color="auto"/>
      </w:divBdr>
    </w:div>
    <w:div w:id="1984191813">
      <w:bodyDiv w:val="1"/>
      <w:marLeft w:val="0"/>
      <w:marRight w:val="0"/>
      <w:marTop w:val="0"/>
      <w:marBottom w:val="0"/>
      <w:divBdr>
        <w:top w:val="none" w:sz="0" w:space="0" w:color="auto"/>
        <w:left w:val="none" w:sz="0" w:space="0" w:color="auto"/>
        <w:bottom w:val="none" w:sz="0" w:space="0" w:color="auto"/>
        <w:right w:val="none" w:sz="0" w:space="0" w:color="auto"/>
      </w:divBdr>
    </w:div>
    <w:div w:id="2010136019">
      <w:bodyDiv w:val="1"/>
      <w:marLeft w:val="0"/>
      <w:marRight w:val="0"/>
      <w:marTop w:val="0"/>
      <w:marBottom w:val="0"/>
      <w:divBdr>
        <w:top w:val="none" w:sz="0" w:space="0" w:color="auto"/>
        <w:left w:val="none" w:sz="0" w:space="0" w:color="auto"/>
        <w:bottom w:val="none" w:sz="0" w:space="0" w:color="auto"/>
        <w:right w:val="none" w:sz="0" w:space="0" w:color="auto"/>
      </w:divBdr>
    </w:div>
    <w:div w:id="2020424855">
      <w:bodyDiv w:val="1"/>
      <w:marLeft w:val="0"/>
      <w:marRight w:val="0"/>
      <w:marTop w:val="0"/>
      <w:marBottom w:val="0"/>
      <w:divBdr>
        <w:top w:val="none" w:sz="0" w:space="0" w:color="auto"/>
        <w:left w:val="none" w:sz="0" w:space="0" w:color="auto"/>
        <w:bottom w:val="none" w:sz="0" w:space="0" w:color="auto"/>
        <w:right w:val="none" w:sz="0" w:space="0" w:color="auto"/>
      </w:divBdr>
    </w:div>
    <w:div w:id="213813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embeddings/oleObject3.bin"/></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embeddings/oleObject4.bin"/></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embeddings/oleObject5.bin"/></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embeddings/oleObject6.bin"/></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embeddings/oleObject7.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[Task 18B^^.YOUTHWELL INTELLIGENCE YOUTH SMOKING AND SUBSTANCE USE TRENDS.xlsx]Mental Health By Year!PivotTable1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Mental Health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tx1">
                <a:lumMod val="95000"/>
                <a:lumOff val="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tx1">
                <a:lumMod val="95000"/>
                <a:lumOff val="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tx1">
                <a:lumMod val="95000"/>
                <a:lumOff val="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'Mental Health By Year'!$B$3</c:f>
              <c:strCache>
                <c:ptCount val="1"/>
                <c:pt idx="0">
                  <c:v>Total</c:v>
                </c:pt>
              </c:strCache>
            </c:strRef>
          </c:tx>
          <c:spPr>
            <a:ln w="28575" cap="rnd">
              <a:solidFill>
                <a:schemeClr val="tx1">
                  <a:lumMod val="95000"/>
                  <a:lumOff val="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'Mental Health By Year'!$A$4:$A$9</c:f>
              <c:strCache>
                <c:ptCount val="5"/>
                <c:pt idx="0">
                  <c:v>2020</c:v>
                </c:pt>
                <c:pt idx="1">
                  <c:v>2021</c:v>
                </c:pt>
                <c:pt idx="2">
                  <c:v>2022</c:v>
                </c:pt>
                <c:pt idx="3">
                  <c:v>2023</c:v>
                </c:pt>
                <c:pt idx="4">
                  <c:v>2024</c:v>
                </c:pt>
              </c:strCache>
            </c:strRef>
          </c:cat>
          <c:val>
            <c:numRef>
              <c:f>'Mental Health By Year'!$B$4:$B$9</c:f>
              <c:numCache>
                <c:formatCode>_(* #,##0.00_);_(* \(#,##0.00\);_(* "-"??_);_(@_)</c:formatCode>
                <c:ptCount val="5"/>
                <c:pt idx="0">
                  <c:v>5.5120749137506158</c:v>
                </c:pt>
                <c:pt idx="1">
                  <c:v>5.4346519779669507</c:v>
                </c:pt>
                <c:pt idx="2">
                  <c:v>5.4106060606060602</c:v>
                </c:pt>
                <c:pt idx="3">
                  <c:v>5.5202282157676352</c:v>
                </c:pt>
                <c:pt idx="4">
                  <c:v>5.4719264278799615</c:v>
                </c:pt>
              </c:numCache>
            </c:numRef>
          </c:val>
          <c:smooth val="0"/>
          <c:extLst>
            <c:ext xmlns:c16="http://schemas.microsoft.com/office/drawing/2014/chart" uri="{C3380CC4-5D6E-409C-BE32-E72D297353CC}">
              <c16:uniqueId val="{00000000-2661-47FE-A50D-3D811AB13950}"/>
            </c:ext>
          </c:extLst>
        </c:ser>
        <c:dLbls>
          <c:dLblPos val="t"/>
          <c:showLegendKey val="0"/>
          <c:showVal val="1"/>
          <c:showCatName val="0"/>
          <c:showSerName val="0"/>
          <c:showPercent val="0"/>
          <c:showBubbleSize val="0"/>
        </c:dLbls>
        <c:smooth val="0"/>
        <c:axId val="1470650015"/>
        <c:axId val="1470650495"/>
      </c:lineChart>
      <c:catAx>
        <c:axId val="1470650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650495"/>
        <c:crosses val="autoZero"/>
        <c:auto val="1"/>
        <c:lblAlgn val="ctr"/>
        <c:lblOffset val="100"/>
        <c:noMultiLvlLbl val="0"/>
      </c:catAx>
      <c:valAx>
        <c:axId val="1470650495"/>
        <c:scaling>
          <c:orientation val="minMax"/>
        </c:scaling>
        <c:delete val="1"/>
        <c:axPos val="l"/>
        <c:numFmt formatCode="_(* #,##0.00_);_(* \(#,##0.00\);_(* &quot;-&quot;??_);_(@_)" sourceLinked="1"/>
        <c:majorTickMark val="none"/>
        <c:minorTickMark val="none"/>
        <c:tickLblPos val="nextTo"/>
        <c:crossAx val="147065001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[Task 18B^^.YOUTHWELL INTELLIGENCE YOUTH SMOKING AND SUBSTANCE USE TRENDS.xlsx]Smoking Prevalence by Age!PivotTable2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Smoking</a:t>
            </a:r>
            <a:r>
              <a:rPr lang="en-US" baseline="0"/>
              <a:t> Prevalence by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1">
              <a:lumMod val="95000"/>
              <a:lumOff val="5000"/>
            </a:schemeClr>
          </a:solidFill>
          <a:ln>
            <a:noFill/>
          </a:ln>
          <a:effectLst/>
        </c:spPr>
      </c:pivotFmt>
      <c:pivotFmt>
        <c:idx val="2"/>
        <c:spPr>
          <a:solidFill>
            <a:schemeClr val="tx1">
              <a:lumMod val="95000"/>
              <a:lumOff val="5000"/>
            </a:schemeClr>
          </a:solidFill>
          <a:ln>
            <a:noFill/>
          </a:ln>
          <a:effectLst/>
        </c:spPr>
      </c:pivotFmt>
      <c:pivotFmt>
        <c:idx val="3"/>
        <c:spPr>
          <a:solidFill>
            <a:schemeClr val="tx1">
              <a:lumMod val="85000"/>
              <a:lumOff val="15000"/>
            </a:schemeClr>
          </a:solidFill>
          <a:ln>
            <a:noFill/>
          </a:ln>
          <a:effectLst/>
        </c:spPr>
      </c:pivotFmt>
      <c:pivotFmt>
        <c:idx val="4"/>
        <c:spPr>
          <a:solidFill>
            <a:schemeClr val="tx1">
              <a:lumMod val="85000"/>
              <a:lumOff val="15000"/>
            </a:schemeClr>
          </a:solidFill>
          <a:ln>
            <a:noFill/>
          </a:ln>
          <a:effectLst/>
        </c:spPr>
      </c:pivotFmt>
      <c:pivotFmt>
        <c:idx val="5"/>
        <c:spPr>
          <a:solidFill>
            <a:schemeClr val="tx1">
              <a:lumMod val="75000"/>
              <a:lumOff val="25000"/>
            </a:schemeClr>
          </a:solidFill>
          <a:ln>
            <a:noFill/>
          </a:ln>
          <a:effectLst/>
        </c:spPr>
      </c:pivotFmt>
      <c:pivotFmt>
        <c:idx val="6"/>
        <c:spPr>
          <a:solidFill>
            <a:schemeClr val="tx1">
              <a:lumMod val="75000"/>
              <a:lumOff val="25000"/>
            </a:schemeClr>
          </a:solidFill>
          <a:ln>
            <a:noFill/>
          </a:ln>
          <a:effectLst/>
        </c:spPr>
      </c:pivotFmt>
      <c:pivotFmt>
        <c:idx val="7"/>
        <c:spPr>
          <a:solidFill>
            <a:schemeClr val="tx1">
              <a:lumMod val="65000"/>
              <a:lumOff val="35000"/>
            </a:schemeClr>
          </a:solidFill>
          <a:ln>
            <a:noFill/>
          </a:ln>
          <a:effectLst/>
        </c:spPr>
      </c:pivotFmt>
      <c:pivotFmt>
        <c:idx val="8"/>
        <c:spPr>
          <a:solidFill>
            <a:schemeClr val="tx1">
              <a:lumMod val="65000"/>
              <a:lumOff val="35000"/>
            </a:schemeClr>
          </a:solidFill>
          <a:ln>
            <a:noFill/>
          </a:ln>
          <a:effectLst/>
        </c:spPr>
      </c:pivotFmt>
      <c:pivotFmt>
        <c:idx val="9"/>
        <c:spPr>
          <a:solidFill>
            <a:schemeClr val="tx1">
              <a:lumMod val="50000"/>
              <a:lumOff val="50000"/>
            </a:schemeClr>
          </a:solidFill>
          <a:ln>
            <a:noFill/>
          </a:ln>
          <a:effectLst/>
        </c:spPr>
      </c:pivotFmt>
      <c:pivotFmt>
        <c:idx val="10"/>
        <c:spPr>
          <a:solidFill>
            <a:schemeClr val="tx1">
              <a:lumMod val="50000"/>
              <a:lumOff val="5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tx1">
              <a:lumMod val="95000"/>
              <a:lumOff val="5000"/>
            </a:schemeClr>
          </a:solidFill>
          <a:ln>
            <a:noFill/>
          </a:ln>
          <a:effectLst/>
        </c:spPr>
      </c:pivotFmt>
      <c:pivotFmt>
        <c:idx val="13"/>
        <c:spPr>
          <a:solidFill>
            <a:schemeClr val="tx1">
              <a:lumMod val="95000"/>
              <a:lumOff val="5000"/>
            </a:schemeClr>
          </a:solidFill>
          <a:ln>
            <a:noFill/>
          </a:ln>
          <a:effectLst/>
        </c:spPr>
      </c:pivotFmt>
      <c:pivotFmt>
        <c:idx val="14"/>
        <c:spPr>
          <a:solidFill>
            <a:schemeClr val="tx1">
              <a:lumMod val="85000"/>
              <a:lumOff val="15000"/>
            </a:schemeClr>
          </a:solidFill>
          <a:ln>
            <a:noFill/>
          </a:ln>
          <a:effectLst/>
        </c:spPr>
      </c:pivotFmt>
      <c:pivotFmt>
        <c:idx val="15"/>
        <c:spPr>
          <a:solidFill>
            <a:schemeClr val="tx1">
              <a:lumMod val="85000"/>
              <a:lumOff val="15000"/>
            </a:schemeClr>
          </a:solidFill>
          <a:ln>
            <a:noFill/>
          </a:ln>
          <a:effectLst/>
        </c:spPr>
      </c:pivotFmt>
      <c:pivotFmt>
        <c:idx val="16"/>
        <c:spPr>
          <a:solidFill>
            <a:schemeClr val="tx1">
              <a:lumMod val="75000"/>
              <a:lumOff val="25000"/>
            </a:schemeClr>
          </a:solidFill>
          <a:ln>
            <a:noFill/>
          </a:ln>
          <a:effectLst/>
        </c:spPr>
      </c:pivotFmt>
      <c:pivotFmt>
        <c:idx val="17"/>
        <c:spPr>
          <a:solidFill>
            <a:schemeClr val="tx1">
              <a:lumMod val="75000"/>
              <a:lumOff val="25000"/>
            </a:schemeClr>
          </a:solidFill>
          <a:ln>
            <a:noFill/>
          </a:ln>
          <a:effectLst/>
        </c:spPr>
      </c:pivotFmt>
      <c:pivotFmt>
        <c:idx val="18"/>
        <c:spPr>
          <a:solidFill>
            <a:schemeClr val="tx1">
              <a:lumMod val="65000"/>
              <a:lumOff val="35000"/>
            </a:schemeClr>
          </a:solidFill>
          <a:ln>
            <a:noFill/>
          </a:ln>
          <a:effectLst/>
        </c:spPr>
      </c:pivotFmt>
      <c:pivotFmt>
        <c:idx val="19"/>
        <c:spPr>
          <a:solidFill>
            <a:schemeClr val="tx1">
              <a:lumMod val="65000"/>
              <a:lumOff val="35000"/>
            </a:schemeClr>
          </a:solidFill>
          <a:ln>
            <a:noFill/>
          </a:ln>
          <a:effectLst/>
        </c:spPr>
      </c:pivotFmt>
      <c:pivotFmt>
        <c:idx val="20"/>
        <c:spPr>
          <a:solidFill>
            <a:schemeClr val="tx1">
              <a:lumMod val="50000"/>
              <a:lumOff val="50000"/>
            </a:schemeClr>
          </a:solidFill>
          <a:ln>
            <a:noFill/>
          </a:ln>
          <a:effectLst/>
        </c:spPr>
      </c:pivotFmt>
      <c:pivotFmt>
        <c:idx val="21"/>
        <c:spPr>
          <a:solidFill>
            <a:schemeClr val="tx1">
              <a:lumMod val="50000"/>
              <a:lumOff val="5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tx1">
              <a:lumMod val="95000"/>
              <a:lumOff val="5000"/>
            </a:schemeClr>
          </a:solidFill>
          <a:ln>
            <a:noFill/>
          </a:ln>
          <a:effectLst/>
        </c:spPr>
      </c:pivotFmt>
      <c:pivotFmt>
        <c:idx val="24"/>
        <c:spPr>
          <a:solidFill>
            <a:schemeClr val="tx1">
              <a:lumMod val="95000"/>
              <a:lumOff val="5000"/>
            </a:schemeClr>
          </a:solidFill>
          <a:ln>
            <a:noFill/>
          </a:ln>
          <a:effectLst/>
        </c:spPr>
      </c:pivotFmt>
      <c:pivotFmt>
        <c:idx val="25"/>
        <c:spPr>
          <a:solidFill>
            <a:schemeClr val="tx1">
              <a:lumMod val="85000"/>
              <a:lumOff val="15000"/>
            </a:schemeClr>
          </a:solidFill>
          <a:ln>
            <a:noFill/>
          </a:ln>
          <a:effectLst/>
        </c:spPr>
      </c:pivotFmt>
      <c:pivotFmt>
        <c:idx val="26"/>
        <c:spPr>
          <a:solidFill>
            <a:schemeClr val="tx1">
              <a:lumMod val="85000"/>
              <a:lumOff val="15000"/>
            </a:schemeClr>
          </a:solidFill>
          <a:ln>
            <a:noFill/>
          </a:ln>
          <a:effectLst/>
        </c:spPr>
      </c:pivotFmt>
      <c:pivotFmt>
        <c:idx val="27"/>
        <c:spPr>
          <a:solidFill>
            <a:schemeClr val="tx1">
              <a:lumMod val="75000"/>
              <a:lumOff val="25000"/>
            </a:schemeClr>
          </a:solidFill>
          <a:ln>
            <a:noFill/>
          </a:ln>
          <a:effectLst/>
        </c:spPr>
      </c:pivotFmt>
      <c:pivotFmt>
        <c:idx val="28"/>
        <c:spPr>
          <a:solidFill>
            <a:schemeClr val="tx1">
              <a:lumMod val="75000"/>
              <a:lumOff val="25000"/>
            </a:schemeClr>
          </a:solidFill>
          <a:ln>
            <a:noFill/>
          </a:ln>
          <a:effectLst/>
        </c:spPr>
      </c:pivotFmt>
      <c:pivotFmt>
        <c:idx val="29"/>
        <c:spPr>
          <a:solidFill>
            <a:schemeClr val="tx1">
              <a:lumMod val="65000"/>
              <a:lumOff val="35000"/>
            </a:schemeClr>
          </a:solidFill>
          <a:ln>
            <a:noFill/>
          </a:ln>
          <a:effectLst/>
        </c:spPr>
      </c:pivotFmt>
      <c:pivotFmt>
        <c:idx val="30"/>
        <c:spPr>
          <a:solidFill>
            <a:schemeClr val="tx1">
              <a:lumMod val="65000"/>
              <a:lumOff val="35000"/>
            </a:schemeClr>
          </a:solidFill>
          <a:ln>
            <a:noFill/>
          </a:ln>
          <a:effectLst/>
        </c:spPr>
      </c:pivotFmt>
      <c:pivotFmt>
        <c:idx val="31"/>
        <c:spPr>
          <a:solidFill>
            <a:schemeClr val="tx1">
              <a:lumMod val="50000"/>
              <a:lumOff val="50000"/>
            </a:schemeClr>
          </a:solidFill>
          <a:ln>
            <a:noFill/>
          </a:ln>
          <a:effectLst/>
        </c:spPr>
      </c:pivotFmt>
      <c:pivotFmt>
        <c:idx val="32"/>
        <c:spPr>
          <a:solidFill>
            <a:schemeClr val="tx1">
              <a:lumMod val="50000"/>
              <a:lumOff val="50000"/>
            </a:schemeClr>
          </a:solidFill>
          <a:ln>
            <a:noFill/>
          </a:ln>
          <a:effectLst/>
        </c:spPr>
      </c:pivotFmt>
    </c:pivotFmts>
    <c:plotArea>
      <c:layout/>
      <c:barChart>
        <c:barDir val="bar"/>
        <c:grouping val="clustered"/>
        <c:varyColors val="0"/>
        <c:ser>
          <c:idx val="0"/>
          <c:order val="0"/>
          <c:tx>
            <c:strRef>
              <c:f>'Smoking Prevalence by Age'!$B$3</c:f>
              <c:strCache>
                <c:ptCount val="1"/>
                <c:pt idx="0">
                  <c:v>Total</c:v>
                </c:pt>
              </c:strCache>
            </c:strRef>
          </c:tx>
          <c:spPr>
            <a:solidFill>
              <a:schemeClr val="accent1"/>
            </a:solidFill>
            <a:ln>
              <a:noFill/>
            </a:ln>
            <a:effectLst/>
          </c:spPr>
          <c:invertIfNegative val="0"/>
          <c:dPt>
            <c:idx val="0"/>
            <c:invertIfNegative val="0"/>
            <c:bubble3D val="0"/>
            <c:spPr>
              <a:solidFill>
                <a:schemeClr val="tx1">
                  <a:lumMod val="95000"/>
                  <a:lumOff val="5000"/>
                </a:schemeClr>
              </a:solidFill>
              <a:ln>
                <a:noFill/>
              </a:ln>
              <a:effectLst/>
            </c:spPr>
            <c:extLst>
              <c:ext xmlns:c16="http://schemas.microsoft.com/office/drawing/2014/chart" uri="{C3380CC4-5D6E-409C-BE32-E72D297353CC}">
                <c16:uniqueId val="{00000001-0B31-4B66-BA92-2FF5871C651B}"/>
              </c:ext>
            </c:extLst>
          </c:dPt>
          <c:dPt>
            <c:idx val="1"/>
            <c:invertIfNegative val="0"/>
            <c:bubble3D val="0"/>
            <c:spPr>
              <a:solidFill>
                <a:schemeClr val="tx1">
                  <a:lumMod val="95000"/>
                  <a:lumOff val="5000"/>
                </a:schemeClr>
              </a:solidFill>
              <a:ln>
                <a:noFill/>
              </a:ln>
              <a:effectLst/>
            </c:spPr>
            <c:extLst>
              <c:ext xmlns:c16="http://schemas.microsoft.com/office/drawing/2014/chart" uri="{C3380CC4-5D6E-409C-BE32-E72D297353CC}">
                <c16:uniqueId val="{00000003-0B31-4B66-BA92-2FF5871C651B}"/>
              </c:ext>
            </c:extLst>
          </c:dPt>
          <c:dPt>
            <c:idx val="2"/>
            <c:invertIfNegative val="0"/>
            <c:bubble3D val="0"/>
            <c:spPr>
              <a:solidFill>
                <a:schemeClr val="tx1">
                  <a:lumMod val="85000"/>
                  <a:lumOff val="15000"/>
                </a:schemeClr>
              </a:solidFill>
              <a:ln>
                <a:noFill/>
              </a:ln>
              <a:effectLst/>
            </c:spPr>
            <c:extLst>
              <c:ext xmlns:c16="http://schemas.microsoft.com/office/drawing/2014/chart" uri="{C3380CC4-5D6E-409C-BE32-E72D297353CC}">
                <c16:uniqueId val="{00000005-0B31-4B66-BA92-2FF5871C651B}"/>
              </c:ext>
            </c:extLst>
          </c:dPt>
          <c:dPt>
            <c:idx val="3"/>
            <c:invertIfNegative val="0"/>
            <c:bubble3D val="0"/>
            <c:spPr>
              <a:solidFill>
                <a:schemeClr val="tx1">
                  <a:lumMod val="85000"/>
                  <a:lumOff val="15000"/>
                </a:schemeClr>
              </a:solidFill>
              <a:ln>
                <a:noFill/>
              </a:ln>
              <a:effectLst/>
            </c:spPr>
            <c:extLst>
              <c:ext xmlns:c16="http://schemas.microsoft.com/office/drawing/2014/chart" uri="{C3380CC4-5D6E-409C-BE32-E72D297353CC}">
                <c16:uniqueId val="{00000007-0B31-4B66-BA92-2FF5871C651B}"/>
              </c:ext>
            </c:extLst>
          </c:dPt>
          <c:dPt>
            <c:idx val="4"/>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9-0B31-4B66-BA92-2FF5871C651B}"/>
              </c:ext>
            </c:extLst>
          </c:dPt>
          <c:dPt>
            <c:idx val="5"/>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B-0B31-4B66-BA92-2FF5871C651B}"/>
              </c:ext>
            </c:extLst>
          </c:dPt>
          <c:dPt>
            <c:idx val="6"/>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D-0B31-4B66-BA92-2FF5871C651B}"/>
              </c:ext>
            </c:extLst>
          </c:dPt>
          <c:dPt>
            <c:idx val="7"/>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F-0B31-4B66-BA92-2FF5871C651B}"/>
              </c:ext>
            </c:extLst>
          </c:dPt>
          <c:dPt>
            <c:idx val="8"/>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11-0B31-4B66-BA92-2FF5871C651B}"/>
              </c:ext>
            </c:extLst>
          </c:dPt>
          <c:dPt>
            <c:idx val="9"/>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13-0B31-4B66-BA92-2FF5871C651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'Smoking Prevalence by Age'!$A$4:$A$14</c:f>
              <c:strCache>
                <c:ptCount val="10"/>
                <c:pt idx="0">
                  <c:v>0-14</c:v>
                </c:pt>
                <c:pt idx="1">
                  <c:v>30-39</c:v>
                </c:pt>
                <c:pt idx="2">
                  <c:v>50-59</c:v>
                </c:pt>
                <c:pt idx="3">
                  <c:v>15-19</c:v>
                </c:pt>
                <c:pt idx="4">
                  <c:v>20-24</c:v>
                </c:pt>
                <c:pt idx="5">
                  <c:v>80+</c:v>
                </c:pt>
                <c:pt idx="6">
                  <c:v>40-49</c:v>
                </c:pt>
                <c:pt idx="7">
                  <c:v>25-29</c:v>
                </c:pt>
                <c:pt idx="8">
                  <c:v>70-79</c:v>
                </c:pt>
                <c:pt idx="9">
                  <c:v>60-69</c:v>
                </c:pt>
              </c:strCache>
            </c:strRef>
          </c:cat>
          <c:val>
            <c:numRef>
              <c:f>'Smoking Prevalence by Age'!$B$4:$B$14</c:f>
              <c:numCache>
                <c:formatCode>_-* #,##0.000_-;\-* #,##0.000_-;_-* "-"??_-;_-@_-</c:formatCode>
                <c:ptCount val="10"/>
                <c:pt idx="0">
                  <c:v>28.087328699106248</c:v>
                </c:pt>
                <c:pt idx="1">
                  <c:v>27.671165523996041</c:v>
                </c:pt>
                <c:pt idx="2">
                  <c:v>27.518151848151813</c:v>
                </c:pt>
                <c:pt idx="3">
                  <c:v>27.444990138067059</c:v>
                </c:pt>
                <c:pt idx="4">
                  <c:v>27.430688995215352</c:v>
                </c:pt>
                <c:pt idx="5">
                  <c:v>27.398059244126628</c:v>
                </c:pt>
                <c:pt idx="6">
                  <c:v>27.29282717282717</c:v>
                </c:pt>
                <c:pt idx="7">
                  <c:v>27.269034907597522</c:v>
                </c:pt>
                <c:pt idx="8">
                  <c:v>27.250597014925397</c:v>
                </c:pt>
                <c:pt idx="9">
                  <c:v>27.012245098039202</c:v>
                </c:pt>
              </c:numCache>
            </c:numRef>
          </c:val>
          <c:extLst>
            <c:ext xmlns:c16="http://schemas.microsoft.com/office/drawing/2014/chart" uri="{C3380CC4-5D6E-409C-BE32-E72D297353CC}">
              <c16:uniqueId val="{00000014-0B31-4B66-BA92-2FF5871C651B}"/>
            </c:ext>
          </c:extLst>
        </c:ser>
        <c:dLbls>
          <c:dLblPos val="outEnd"/>
          <c:showLegendKey val="0"/>
          <c:showVal val="1"/>
          <c:showCatName val="0"/>
          <c:showSerName val="0"/>
          <c:showPercent val="0"/>
          <c:showBubbleSize val="0"/>
        </c:dLbls>
        <c:gapWidth val="50"/>
        <c:axId val="1096742448"/>
        <c:axId val="1096742928"/>
      </c:barChart>
      <c:catAx>
        <c:axId val="1096742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6742928"/>
        <c:crosses val="autoZero"/>
        <c:auto val="1"/>
        <c:lblAlgn val="ctr"/>
        <c:lblOffset val="100"/>
        <c:noMultiLvlLbl val="0"/>
      </c:catAx>
      <c:valAx>
        <c:axId val="1096742928"/>
        <c:scaling>
          <c:orientation val="minMax"/>
        </c:scaling>
        <c:delete val="1"/>
        <c:axPos val="b"/>
        <c:numFmt formatCode="_-* #,##0.000_-;\-* #,##0.000_-;_-* &quot;-&quot;??_-;_-@_-" sourceLinked="1"/>
        <c:majorTickMark val="none"/>
        <c:minorTickMark val="none"/>
        <c:tickLblPos val="nextTo"/>
        <c:crossAx val="1096742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[Task 18B^^.YOUTHWELL INTELLIGENCE YOUTH SMOKING AND SUBSTANCE USE TRENDS.xlsx]Drug Experimentation by Status!PivotTable3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Drug Experimentation by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1">
              <a:lumMod val="95000"/>
              <a:lumOff val="5000"/>
            </a:schemeClr>
          </a:solidFill>
          <a:ln w="19050">
            <a:solidFill>
              <a:schemeClr val="lt1"/>
            </a:solidFill>
          </a:ln>
          <a:effectLst/>
        </c:spPr>
        <c:dLbl>
          <c:idx val="0"/>
          <c:layout>
            <c:manualLayout>
              <c:x val="2.2222222222222223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tx1">
              <a:lumMod val="85000"/>
              <a:lumOff val="15000"/>
            </a:schemeClr>
          </a:solidFill>
          <a:ln w="19050">
            <a:solidFill>
              <a:schemeClr val="lt1"/>
            </a:solidFill>
          </a:ln>
          <a:effectLst/>
        </c:spPr>
        <c:dLbl>
          <c:idx val="0"/>
          <c:layout>
            <c:manualLayout>
              <c:x val="7.2222222222222215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tx1">
              <a:lumMod val="75000"/>
              <a:lumOff val="25000"/>
            </a:schemeClr>
          </a:solidFill>
          <a:ln w="19050">
            <a:solidFill>
              <a:schemeClr val="lt1"/>
            </a:solidFill>
          </a:ln>
          <a:effectLst/>
        </c:spPr>
        <c:dLbl>
          <c:idx val="0"/>
          <c:layout>
            <c:manualLayout>
              <c:x val="-1.9444444444444469E-2"/>
              <c:y val="-9.2592592592592587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tx1">
              <a:lumMod val="95000"/>
              <a:lumOff val="5000"/>
            </a:schemeClr>
          </a:solidFill>
          <a:ln w="19050">
            <a:solidFill>
              <a:schemeClr val="lt1"/>
            </a:solidFill>
          </a:ln>
          <a:effectLst/>
        </c:spPr>
        <c:dLbl>
          <c:idx val="0"/>
          <c:layout>
            <c:manualLayout>
              <c:x val="2.2222222222222223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tx1">
              <a:lumMod val="85000"/>
              <a:lumOff val="15000"/>
            </a:schemeClr>
          </a:solidFill>
          <a:ln w="19050">
            <a:solidFill>
              <a:schemeClr val="lt1"/>
            </a:solidFill>
          </a:ln>
          <a:effectLst/>
        </c:spPr>
        <c:dLbl>
          <c:idx val="0"/>
          <c:layout>
            <c:manualLayout>
              <c:x val="7.2222222222222215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tx1">
              <a:lumMod val="75000"/>
              <a:lumOff val="25000"/>
            </a:schemeClr>
          </a:solidFill>
          <a:ln w="19050">
            <a:solidFill>
              <a:schemeClr val="lt1"/>
            </a:solidFill>
          </a:ln>
          <a:effectLst/>
        </c:spPr>
        <c:dLbl>
          <c:idx val="0"/>
          <c:layout>
            <c:manualLayout>
              <c:x val="-1.9444444444444469E-2"/>
              <c:y val="-9.2592592592592587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tx1">
              <a:lumMod val="95000"/>
              <a:lumOff val="5000"/>
            </a:schemeClr>
          </a:solidFill>
          <a:ln w="19050">
            <a:solidFill>
              <a:schemeClr val="lt1"/>
            </a:solidFill>
          </a:ln>
          <a:effectLst/>
        </c:spPr>
        <c:dLbl>
          <c:idx val="0"/>
          <c:layout>
            <c:manualLayout>
              <c:x val="2.2222222222222223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tx1">
              <a:lumMod val="85000"/>
              <a:lumOff val="15000"/>
            </a:schemeClr>
          </a:solidFill>
          <a:ln w="19050">
            <a:solidFill>
              <a:schemeClr val="lt1"/>
            </a:solidFill>
          </a:ln>
          <a:effectLst/>
        </c:spPr>
        <c:dLbl>
          <c:idx val="0"/>
          <c:layout>
            <c:manualLayout>
              <c:x val="7.2222222222222215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tx1">
              <a:lumMod val="75000"/>
              <a:lumOff val="25000"/>
            </a:schemeClr>
          </a:solidFill>
          <a:ln w="19050">
            <a:solidFill>
              <a:schemeClr val="lt1"/>
            </a:solidFill>
          </a:ln>
          <a:effectLst/>
        </c:spPr>
        <c:dLbl>
          <c:idx val="0"/>
          <c:layout>
            <c:manualLayout>
              <c:x val="-1.9444444444444469E-2"/>
              <c:y val="-9.2592592592592587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6928237095363072"/>
          <c:y val="0.13467592592592595"/>
          <c:w val="0.46641666666666665"/>
          <c:h val="0.77736111111111106"/>
        </c:manualLayout>
      </c:layout>
      <c:pieChart>
        <c:varyColors val="1"/>
        <c:ser>
          <c:idx val="0"/>
          <c:order val="0"/>
          <c:tx>
            <c:strRef>
              <c:f>'Drug Experimentation by Status'!$B$3</c:f>
              <c:strCache>
                <c:ptCount val="1"/>
                <c:pt idx="0">
                  <c:v>Total</c:v>
                </c:pt>
              </c:strCache>
            </c:strRef>
          </c:tx>
          <c:dPt>
            <c:idx val="0"/>
            <c:bubble3D val="0"/>
            <c:spPr>
              <a:solidFill>
                <a:schemeClr val="tx1">
                  <a:lumMod val="95000"/>
                  <a:lumOff val="5000"/>
                </a:schemeClr>
              </a:solidFill>
              <a:ln w="19050">
                <a:solidFill>
                  <a:schemeClr val="lt1"/>
                </a:solidFill>
              </a:ln>
              <a:effectLst/>
            </c:spPr>
            <c:extLst>
              <c:ext xmlns:c16="http://schemas.microsoft.com/office/drawing/2014/chart" uri="{C3380CC4-5D6E-409C-BE32-E72D297353CC}">
                <c16:uniqueId val="{00000001-DECA-4085-9BC2-9FF0E4E2A7AE}"/>
              </c:ext>
            </c:extLst>
          </c:dPt>
          <c:dPt>
            <c:idx val="1"/>
            <c:bubble3D val="0"/>
            <c:explosion val="1"/>
            <c:spPr>
              <a:solidFill>
                <a:schemeClr val="tx1">
                  <a:lumMod val="85000"/>
                  <a:lumOff val="15000"/>
                </a:schemeClr>
              </a:solidFill>
              <a:ln w="19050">
                <a:solidFill>
                  <a:schemeClr val="lt1"/>
                </a:solidFill>
              </a:ln>
              <a:effectLst/>
            </c:spPr>
            <c:extLst>
              <c:ext xmlns:c16="http://schemas.microsoft.com/office/drawing/2014/chart" uri="{C3380CC4-5D6E-409C-BE32-E72D297353CC}">
                <c16:uniqueId val="{00000003-DECA-4085-9BC2-9FF0E4E2A7AE}"/>
              </c:ext>
            </c:extLst>
          </c:dPt>
          <c:dPt>
            <c:idx val="2"/>
            <c:bubble3D val="0"/>
            <c:spPr>
              <a:solidFill>
                <a:schemeClr val="tx1">
                  <a:lumMod val="75000"/>
                  <a:lumOff val="25000"/>
                </a:schemeClr>
              </a:solidFill>
              <a:ln w="19050">
                <a:solidFill>
                  <a:schemeClr val="lt1"/>
                </a:solidFill>
              </a:ln>
              <a:effectLst/>
            </c:spPr>
            <c:extLst>
              <c:ext xmlns:c16="http://schemas.microsoft.com/office/drawing/2014/chart" uri="{C3380CC4-5D6E-409C-BE32-E72D297353CC}">
                <c16:uniqueId val="{00000005-DECA-4085-9BC2-9FF0E4E2A7AE}"/>
              </c:ext>
            </c:extLst>
          </c:dPt>
          <c:dLbls>
            <c:dLbl>
              <c:idx val="0"/>
              <c:layout>
                <c:manualLayout>
                  <c:x val="2.2222222222222223E-2"/>
                  <c:y val="0"/>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ECA-4085-9BC2-9FF0E4E2A7AE}"/>
                </c:ext>
              </c:extLst>
            </c:dLbl>
            <c:dLbl>
              <c:idx val="1"/>
              <c:layout>
                <c:manualLayout>
                  <c:x val="7.2222222222222215E-2"/>
                  <c:y val="0"/>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ECA-4085-9BC2-9FF0E4E2A7AE}"/>
                </c:ext>
              </c:extLst>
            </c:dLbl>
            <c:dLbl>
              <c:idx val="2"/>
              <c:layout>
                <c:manualLayout>
                  <c:x val="-1.9444444444444469E-2"/>
                  <c:y val="-9.2592592592592587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ECA-4085-9BC2-9FF0E4E2A7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'Drug Experimentation by Status'!$A$4:$A$7</c:f>
              <c:strCache>
                <c:ptCount val="3"/>
                <c:pt idx="0">
                  <c:v>Low</c:v>
                </c:pt>
                <c:pt idx="1">
                  <c:v>High</c:v>
                </c:pt>
                <c:pt idx="2">
                  <c:v>Middle</c:v>
                </c:pt>
              </c:strCache>
            </c:strRef>
          </c:cat>
          <c:val>
            <c:numRef>
              <c:f>'Drug Experimentation by Status'!$B$4:$B$7</c:f>
              <c:numCache>
                <c:formatCode>_(* #,##0.00_);_(* \(#,##0.00\);_(* "-"??_);_(@_)</c:formatCode>
                <c:ptCount val="3"/>
                <c:pt idx="0">
                  <c:v>40.331691980558972</c:v>
                </c:pt>
                <c:pt idx="1">
                  <c:v>40.146789536266382</c:v>
                </c:pt>
                <c:pt idx="2">
                  <c:v>39.974907296650748</c:v>
                </c:pt>
              </c:numCache>
            </c:numRef>
          </c:val>
          <c:extLst>
            <c:ext xmlns:c16="http://schemas.microsoft.com/office/drawing/2014/chart" uri="{C3380CC4-5D6E-409C-BE32-E72D297353CC}">
              <c16:uniqueId val="{00000006-DECA-4085-9BC2-9FF0E4E2A7AE}"/>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[Task 18B^^.YOUTHWELL INTELLIGENCE YOUTH SMOKING AND SUBSTANCE USE TRENDS.xlsx]Drug Experimentation on Gender!PivotTable4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Drug Experimentation on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1">
              <a:lumMod val="95000"/>
              <a:lumOff val="5000"/>
            </a:schemeClr>
          </a:solidFill>
          <a:ln w="19050">
            <a:solidFill>
              <a:schemeClr val="lt1"/>
            </a:solidFill>
          </a:ln>
          <a:effectLst/>
        </c:spPr>
        <c:dLbl>
          <c:idx val="0"/>
          <c:layout>
            <c:manualLayout>
              <c:x val="9.7222222222222127E-2"/>
              <c:y val="-8.33333333333332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tx1">
              <a:lumMod val="85000"/>
              <a:lumOff val="15000"/>
            </a:schemeClr>
          </a:solidFill>
          <a:ln w="19050">
            <a:solidFill>
              <a:schemeClr val="lt1"/>
            </a:solidFill>
          </a:ln>
          <a:effectLst/>
        </c:spPr>
        <c:dLbl>
          <c:idx val="0"/>
          <c:layout>
            <c:manualLayout>
              <c:x val="0.14722222222222223"/>
              <c:y val="7.40740740740740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tx1">
              <a:lumMod val="75000"/>
              <a:lumOff val="25000"/>
            </a:schemeClr>
          </a:solidFill>
          <a:ln w="19050">
            <a:solidFill>
              <a:schemeClr val="lt1"/>
            </a:solidFill>
          </a:ln>
          <a:effectLst/>
        </c:spPr>
        <c:dLbl>
          <c:idx val="0"/>
          <c:layout>
            <c:manualLayout>
              <c:x val="-7.5000000000000025E-2"/>
              <c:y val="-6.481481481481485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tx1">
              <a:lumMod val="95000"/>
              <a:lumOff val="5000"/>
            </a:schemeClr>
          </a:solidFill>
          <a:ln w="19050">
            <a:solidFill>
              <a:schemeClr val="lt1"/>
            </a:solidFill>
          </a:ln>
          <a:effectLst/>
        </c:spPr>
        <c:dLbl>
          <c:idx val="0"/>
          <c:layout>
            <c:manualLayout>
              <c:x val="9.7222222222222127E-2"/>
              <c:y val="-8.33333333333332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tx1">
              <a:lumMod val="85000"/>
              <a:lumOff val="15000"/>
            </a:schemeClr>
          </a:solidFill>
          <a:ln w="19050">
            <a:solidFill>
              <a:schemeClr val="lt1"/>
            </a:solidFill>
          </a:ln>
          <a:effectLst/>
        </c:spPr>
        <c:dLbl>
          <c:idx val="0"/>
          <c:layout>
            <c:manualLayout>
              <c:x val="0.14722222222222223"/>
              <c:y val="7.40740740740740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tx1">
              <a:lumMod val="75000"/>
              <a:lumOff val="25000"/>
            </a:schemeClr>
          </a:solidFill>
          <a:ln w="19050">
            <a:solidFill>
              <a:schemeClr val="lt1"/>
            </a:solidFill>
          </a:ln>
          <a:effectLst/>
        </c:spPr>
        <c:dLbl>
          <c:idx val="0"/>
          <c:layout>
            <c:manualLayout>
              <c:x val="-7.5000000000000025E-2"/>
              <c:y val="-6.481481481481485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tx1">
              <a:lumMod val="95000"/>
              <a:lumOff val="5000"/>
            </a:schemeClr>
          </a:solidFill>
          <a:ln w="19050">
            <a:solidFill>
              <a:schemeClr val="lt1"/>
            </a:solidFill>
          </a:ln>
          <a:effectLst/>
        </c:spPr>
        <c:dLbl>
          <c:idx val="0"/>
          <c:layout>
            <c:manualLayout>
              <c:x val="9.7222222222222127E-2"/>
              <c:y val="-8.33333333333332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tx1">
              <a:lumMod val="85000"/>
              <a:lumOff val="15000"/>
            </a:schemeClr>
          </a:solidFill>
          <a:ln w="19050">
            <a:solidFill>
              <a:schemeClr val="lt1"/>
            </a:solidFill>
          </a:ln>
          <a:effectLst/>
        </c:spPr>
        <c:dLbl>
          <c:idx val="0"/>
          <c:layout>
            <c:manualLayout>
              <c:x val="0.14722222222222223"/>
              <c:y val="7.40740740740740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tx1">
              <a:lumMod val="75000"/>
              <a:lumOff val="25000"/>
            </a:schemeClr>
          </a:solidFill>
          <a:ln w="19050">
            <a:solidFill>
              <a:schemeClr val="lt1"/>
            </a:solidFill>
          </a:ln>
          <a:effectLst/>
        </c:spPr>
        <c:dLbl>
          <c:idx val="0"/>
          <c:layout>
            <c:manualLayout>
              <c:x val="-7.5000000000000025E-2"/>
              <c:y val="-6.481481481481485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6599081364829397"/>
          <c:y val="0.15782407407407409"/>
          <c:w val="0.46641666666666665"/>
          <c:h val="0.77736111111111106"/>
        </c:manualLayout>
      </c:layout>
      <c:doughnutChart>
        <c:varyColors val="1"/>
        <c:ser>
          <c:idx val="0"/>
          <c:order val="0"/>
          <c:tx>
            <c:strRef>
              <c:f>'Drug Experimentation on Gender'!$B$3</c:f>
              <c:strCache>
                <c:ptCount val="1"/>
                <c:pt idx="0">
                  <c:v>Total</c:v>
                </c:pt>
              </c:strCache>
            </c:strRef>
          </c:tx>
          <c:dPt>
            <c:idx val="0"/>
            <c:bubble3D val="0"/>
            <c:spPr>
              <a:solidFill>
                <a:schemeClr val="tx1">
                  <a:lumMod val="95000"/>
                  <a:lumOff val="5000"/>
                </a:schemeClr>
              </a:solidFill>
              <a:ln w="19050">
                <a:solidFill>
                  <a:schemeClr val="lt1"/>
                </a:solidFill>
              </a:ln>
              <a:effectLst/>
            </c:spPr>
            <c:extLst>
              <c:ext xmlns:c16="http://schemas.microsoft.com/office/drawing/2014/chart" uri="{C3380CC4-5D6E-409C-BE32-E72D297353CC}">
                <c16:uniqueId val="{00000001-4CB1-4770-8EA7-2944A6497DA7}"/>
              </c:ext>
            </c:extLst>
          </c:dPt>
          <c:dPt>
            <c:idx val="1"/>
            <c:bubble3D val="0"/>
            <c:spPr>
              <a:solidFill>
                <a:schemeClr val="tx1">
                  <a:lumMod val="85000"/>
                  <a:lumOff val="15000"/>
                </a:schemeClr>
              </a:solidFill>
              <a:ln w="19050">
                <a:solidFill>
                  <a:schemeClr val="lt1"/>
                </a:solidFill>
              </a:ln>
              <a:effectLst/>
            </c:spPr>
            <c:extLst>
              <c:ext xmlns:c16="http://schemas.microsoft.com/office/drawing/2014/chart" uri="{C3380CC4-5D6E-409C-BE32-E72D297353CC}">
                <c16:uniqueId val="{00000003-4CB1-4770-8EA7-2944A6497DA7}"/>
              </c:ext>
            </c:extLst>
          </c:dPt>
          <c:dPt>
            <c:idx val="2"/>
            <c:bubble3D val="0"/>
            <c:spPr>
              <a:solidFill>
                <a:schemeClr val="tx1">
                  <a:lumMod val="75000"/>
                  <a:lumOff val="25000"/>
                </a:schemeClr>
              </a:solidFill>
              <a:ln w="19050">
                <a:solidFill>
                  <a:schemeClr val="lt1"/>
                </a:solidFill>
              </a:ln>
              <a:effectLst/>
            </c:spPr>
            <c:extLst>
              <c:ext xmlns:c16="http://schemas.microsoft.com/office/drawing/2014/chart" uri="{C3380CC4-5D6E-409C-BE32-E72D297353CC}">
                <c16:uniqueId val="{00000005-4CB1-4770-8EA7-2944A6497DA7}"/>
              </c:ext>
            </c:extLst>
          </c:dPt>
          <c:dLbls>
            <c:dLbl>
              <c:idx val="0"/>
              <c:layout>
                <c:manualLayout>
                  <c:x val="9.7222222222222127E-2"/>
                  <c:y val="-8.33333333333332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CB1-4770-8EA7-2944A6497DA7}"/>
                </c:ext>
              </c:extLst>
            </c:dLbl>
            <c:dLbl>
              <c:idx val="1"/>
              <c:layout>
                <c:manualLayout>
                  <c:x val="0.14722222222222223"/>
                  <c:y val="7.4074074074074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CB1-4770-8EA7-2944A6497DA7}"/>
                </c:ext>
              </c:extLst>
            </c:dLbl>
            <c:dLbl>
              <c:idx val="2"/>
              <c:layout>
                <c:manualLayout>
                  <c:x val="-7.5000000000000025E-2"/>
                  <c:y val="-6.48148148148148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CB1-4770-8EA7-2944A6497DA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'Drug Experimentation on Gender'!$A$4:$A$7</c:f>
              <c:strCache>
                <c:ptCount val="3"/>
                <c:pt idx="0">
                  <c:v>Both</c:v>
                </c:pt>
                <c:pt idx="1">
                  <c:v>Female</c:v>
                </c:pt>
                <c:pt idx="2">
                  <c:v>Male</c:v>
                </c:pt>
              </c:strCache>
            </c:strRef>
          </c:cat>
          <c:val>
            <c:numRef>
              <c:f>'Drug Experimentation on Gender'!$B$4:$B$7</c:f>
              <c:numCache>
                <c:formatCode>_(* #,##0.00_);_(* \(#,##0.00\);_(* "-"??_);_(@_)</c:formatCode>
                <c:ptCount val="3"/>
                <c:pt idx="0">
                  <c:v>40.477452415812586</c:v>
                </c:pt>
                <c:pt idx="1">
                  <c:v>40.148824065633598</c:v>
                </c:pt>
                <c:pt idx="2">
                  <c:v>39.812246508803959</c:v>
                </c:pt>
              </c:numCache>
            </c:numRef>
          </c:val>
          <c:extLst>
            <c:ext xmlns:c16="http://schemas.microsoft.com/office/drawing/2014/chart" uri="{C3380CC4-5D6E-409C-BE32-E72D297353CC}">
              <c16:uniqueId val="{00000006-4CB1-4770-8EA7-2944A6497DA7}"/>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[Task 18B^^.YOUTHWELL INTELLIGENCE YOUTH SMOKING AND SUBSTANCE USE TRENDS.xlsx]Media Influence on Age Groups!PivotTable5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a:t>
            </a:r>
            <a:r>
              <a:rPr lang="en-US" baseline="0"/>
              <a:t> Influence on Age Groups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1">
              <a:lumMod val="95000"/>
              <a:lumOff val="5000"/>
            </a:schemeClr>
          </a:solidFill>
          <a:ln>
            <a:noFill/>
          </a:ln>
          <a:effectLst/>
        </c:spPr>
      </c:pivotFmt>
      <c:pivotFmt>
        <c:idx val="2"/>
        <c:spPr>
          <a:solidFill>
            <a:schemeClr val="tx1">
              <a:lumMod val="95000"/>
              <a:lumOff val="5000"/>
            </a:schemeClr>
          </a:solidFill>
          <a:ln>
            <a:noFill/>
          </a:ln>
          <a:effectLst/>
        </c:spPr>
      </c:pivotFmt>
      <c:pivotFmt>
        <c:idx val="3"/>
        <c:spPr>
          <a:solidFill>
            <a:schemeClr val="tx1">
              <a:lumMod val="85000"/>
              <a:lumOff val="15000"/>
            </a:schemeClr>
          </a:solidFill>
          <a:ln>
            <a:noFill/>
          </a:ln>
          <a:effectLst/>
        </c:spPr>
      </c:pivotFmt>
      <c:pivotFmt>
        <c:idx val="4"/>
        <c:spPr>
          <a:solidFill>
            <a:schemeClr val="tx1">
              <a:lumMod val="85000"/>
              <a:lumOff val="15000"/>
            </a:schemeClr>
          </a:solidFill>
          <a:ln>
            <a:noFill/>
          </a:ln>
          <a:effectLst/>
        </c:spPr>
      </c:pivotFmt>
      <c:pivotFmt>
        <c:idx val="5"/>
        <c:spPr>
          <a:solidFill>
            <a:schemeClr val="tx1">
              <a:lumMod val="75000"/>
              <a:lumOff val="25000"/>
            </a:schemeClr>
          </a:solidFill>
          <a:ln>
            <a:noFill/>
          </a:ln>
          <a:effectLst/>
        </c:spPr>
      </c:pivotFmt>
      <c:pivotFmt>
        <c:idx val="6"/>
        <c:spPr>
          <a:solidFill>
            <a:schemeClr val="tx1">
              <a:lumMod val="75000"/>
              <a:lumOff val="25000"/>
            </a:schemeClr>
          </a:solidFill>
          <a:ln>
            <a:noFill/>
          </a:ln>
          <a:effectLst/>
        </c:spPr>
      </c:pivotFmt>
      <c:pivotFmt>
        <c:idx val="7"/>
        <c:spPr>
          <a:solidFill>
            <a:schemeClr val="tx1">
              <a:lumMod val="65000"/>
              <a:lumOff val="35000"/>
            </a:schemeClr>
          </a:solidFill>
          <a:ln>
            <a:noFill/>
          </a:ln>
          <a:effectLst/>
        </c:spPr>
      </c:pivotFmt>
      <c:pivotFmt>
        <c:idx val="8"/>
        <c:spPr>
          <a:solidFill>
            <a:schemeClr val="tx1">
              <a:lumMod val="65000"/>
              <a:lumOff val="35000"/>
            </a:schemeClr>
          </a:solidFill>
          <a:ln>
            <a:noFill/>
          </a:ln>
          <a:effectLst/>
        </c:spPr>
      </c:pivotFmt>
      <c:pivotFmt>
        <c:idx val="9"/>
        <c:spPr>
          <a:solidFill>
            <a:schemeClr val="tx1">
              <a:lumMod val="50000"/>
              <a:lumOff val="50000"/>
            </a:schemeClr>
          </a:solidFill>
          <a:ln>
            <a:noFill/>
          </a:ln>
          <a:effectLst/>
        </c:spPr>
      </c:pivotFmt>
      <c:pivotFmt>
        <c:idx val="10"/>
        <c:spPr>
          <a:solidFill>
            <a:schemeClr val="tx1">
              <a:lumMod val="50000"/>
              <a:lumOff val="5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tx1">
              <a:lumMod val="95000"/>
              <a:lumOff val="5000"/>
            </a:schemeClr>
          </a:solidFill>
          <a:ln>
            <a:noFill/>
          </a:ln>
          <a:effectLst/>
        </c:spPr>
      </c:pivotFmt>
      <c:pivotFmt>
        <c:idx val="13"/>
        <c:spPr>
          <a:solidFill>
            <a:schemeClr val="tx1">
              <a:lumMod val="95000"/>
              <a:lumOff val="5000"/>
            </a:schemeClr>
          </a:solidFill>
          <a:ln>
            <a:noFill/>
          </a:ln>
          <a:effectLst/>
        </c:spPr>
      </c:pivotFmt>
      <c:pivotFmt>
        <c:idx val="14"/>
        <c:spPr>
          <a:solidFill>
            <a:schemeClr val="tx1">
              <a:lumMod val="85000"/>
              <a:lumOff val="15000"/>
            </a:schemeClr>
          </a:solidFill>
          <a:ln>
            <a:noFill/>
          </a:ln>
          <a:effectLst/>
        </c:spPr>
      </c:pivotFmt>
      <c:pivotFmt>
        <c:idx val="15"/>
        <c:spPr>
          <a:solidFill>
            <a:schemeClr val="tx1">
              <a:lumMod val="85000"/>
              <a:lumOff val="15000"/>
            </a:schemeClr>
          </a:solidFill>
          <a:ln>
            <a:noFill/>
          </a:ln>
          <a:effectLst/>
        </c:spPr>
      </c:pivotFmt>
      <c:pivotFmt>
        <c:idx val="16"/>
        <c:spPr>
          <a:solidFill>
            <a:schemeClr val="tx1">
              <a:lumMod val="75000"/>
              <a:lumOff val="25000"/>
            </a:schemeClr>
          </a:solidFill>
          <a:ln>
            <a:noFill/>
          </a:ln>
          <a:effectLst/>
        </c:spPr>
      </c:pivotFmt>
      <c:pivotFmt>
        <c:idx val="17"/>
        <c:spPr>
          <a:solidFill>
            <a:schemeClr val="tx1">
              <a:lumMod val="75000"/>
              <a:lumOff val="25000"/>
            </a:schemeClr>
          </a:solidFill>
          <a:ln>
            <a:noFill/>
          </a:ln>
          <a:effectLst/>
        </c:spPr>
      </c:pivotFmt>
      <c:pivotFmt>
        <c:idx val="18"/>
        <c:spPr>
          <a:solidFill>
            <a:schemeClr val="tx1">
              <a:lumMod val="65000"/>
              <a:lumOff val="35000"/>
            </a:schemeClr>
          </a:solidFill>
          <a:ln>
            <a:noFill/>
          </a:ln>
          <a:effectLst/>
        </c:spPr>
      </c:pivotFmt>
      <c:pivotFmt>
        <c:idx val="19"/>
        <c:spPr>
          <a:solidFill>
            <a:schemeClr val="tx1">
              <a:lumMod val="65000"/>
              <a:lumOff val="35000"/>
            </a:schemeClr>
          </a:solidFill>
          <a:ln>
            <a:noFill/>
          </a:ln>
          <a:effectLst/>
        </c:spPr>
      </c:pivotFmt>
      <c:pivotFmt>
        <c:idx val="20"/>
        <c:spPr>
          <a:solidFill>
            <a:schemeClr val="tx1">
              <a:lumMod val="50000"/>
              <a:lumOff val="50000"/>
            </a:schemeClr>
          </a:solidFill>
          <a:ln>
            <a:noFill/>
          </a:ln>
          <a:effectLst/>
        </c:spPr>
      </c:pivotFmt>
      <c:pivotFmt>
        <c:idx val="21"/>
        <c:spPr>
          <a:solidFill>
            <a:schemeClr val="tx1">
              <a:lumMod val="50000"/>
              <a:lumOff val="5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tx1">
              <a:lumMod val="95000"/>
              <a:lumOff val="5000"/>
            </a:schemeClr>
          </a:solidFill>
          <a:ln>
            <a:noFill/>
          </a:ln>
          <a:effectLst/>
        </c:spPr>
      </c:pivotFmt>
      <c:pivotFmt>
        <c:idx val="24"/>
        <c:spPr>
          <a:solidFill>
            <a:schemeClr val="tx1">
              <a:lumMod val="95000"/>
              <a:lumOff val="5000"/>
            </a:schemeClr>
          </a:solidFill>
          <a:ln>
            <a:noFill/>
          </a:ln>
          <a:effectLst/>
        </c:spPr>
      </c:pivotFmt>
      <c:pivotFmt>
        <c:idx val="25"/>
        <c:spPr>
          <a:solidFill>
            <a:schemeClr val="tx1">
              <a:lumMod val="85000"/>
              <a:lumOff val="15000"/>
            </a:schemeClr>
          </a:solidFill>
          <a:ln>
            <a:noFill/>
          </a:ln>
          <a:effectLst/>
        </c:spPr>
      </c:pivotFmt>
      <c:pivotFmt>
        <c:idx val="26"/>
        <c:spPr>
          <a:solidFill>
            <a:schemeClr val="tx1">
              <a:lumMod val="85000"/>
              <a:lumOff val="15000"/>
            </a:schemeClr>
          </a:solidFill>
          <a:ln>
            <a:noFill/>
          </a:ln>
          <a:effectLst/>
        </c:spPr>
      </c:pivotFmt>
      <c:pivotFmt>
        <c:idx val="27"/>
        <c:spPr>
          <a:solidFill>
            <a:schemeClr val="tx1">
              <a:lumMod val="75000"/>
              <a:lumOff val="25000"/>
            </a:schemeClr>
          </a:solidFill>
          <a:ln>
            <a:noFill/>
          </a:ln>
          <a:effectLst/>
        </c:spPr>
      </c:pivotFmt>
      <c:pivotFmt>
        <c:idx val="28"/>
        <c:spPr>
          <a:solidFill>
            <a:schemeClr val="tx1">
              <a:lumMod val="75000"/>
              <a:lumOff val="25000"/>
            </a:schemeClr>
          </a:solidFill>
          <a:ln>
            <a:noFill/>
          </a:ln>
          <a:effectLst/>
        </c:spPr>
      </c:pivotFmt>
      <c:pivotFmt>
        <c:idx val="29"/>
        <c:spPr>
          <a:solidFill>
            <a:schemeClr val="tx1">
              <a:lumMod val="65000"/>
              <a:lumOff val="35000"/>
            </a:schemeClr>
          </a:solidFill>
          <a:ln>
            <a:noFill/>
          </a:ln>
          <a:effectLst/>
        </c:spPr>
      </c:pivotFmt>
      <c:pivotFmt>
        <c:idx val="30"/>
        <c:spPr>
          <a:solidFill>
            <a:schemeClr val="tx1">
              <a:lumMod val="65000"/>
              <a:lumOff val="35000"/>
            </a:schemeClr>
          </a:solidFill>
          <a:ln>
            <a:noFill/>
          </a:ln>
          <a:effectLst/>
        </c:spPr>
      </c:pivotFmt>
      <c:pivotFmt>
        <c:idx val="31"/>
        <c:spPr>
          <a:solidFill>
            <a:schemeClr val="tx1">
              <a:lumMod val="50000"/>
              <a:lumOff val="50000"/>
            </a:schemeClr>
          </a:solidFill>
          <a:ln>
            <a:noFill/>
          </a:ln>
          <a:effectLst/>
        </c:spPr>
      </c:pivotFmt>
      <c:pivotFmt>
        <c:idx val="32"/>
        <c:spPr>
          <a:solidFill>
            <a:schemeClr val="tx1">
              <a:lumMod val="50000"/>
              <a:lumOff val="50000"/>
            </a:schemeClr>
          </a:solidFill>
          <a:ln>
            <a:noFill/>
          </a:ln>
          <a:effectLst/>
        </c:spPr>
      </c:pivotFmt>
    </c:pivotFmts>
    <c:plotArea>
      <c:layout/>
      <c:barChart>
        <c:barDir val="col"/>
        <c:grouping val="clustered"/>
        <c:varyColors val="0"/>
        <c:ser>
          <c:idx val="0"/>
          <c:order val="0"/>
          <c:tx>
            <c:strRef>
              <c:f>'Media Influence on Age Groups'!$B$3</c:f>
              <c:strCache>
                <c:ptCount val="1"/>
                <c:pt idx="0">
                  <c:v>Total</c:v>
                </c:pt>
              </c:strCache>
            </c:strRef>
          </c:tx>
          <c:spPr>
            <a:solidFill>
              <a:schemeClr val="accent1"/>
            </a:solidFill>
            <a:ln>
              <a:noFill/>
            </a:ln>
            <a:effectLst/>
          </c:spPr>
          <c:invertIfNegative val="0"/>
          <c:dPt>
            <c:idx val="0"/>
            <c:invertIfNegative val="0"/>
            <c:bubble3D val="0"/>
            <c:spPr>
              <a:solidFill>
                <a:schemeClr val="tx1">
                  <a:lumMod val="95000"/>
                  <a:lumOff val="5000"/>
                </a:schemeClr>
              </a:solidFill>
              <a:ln>
                <a:noFill/>
              </a:ln>
              <a:effectLst/>
            </c:spPr>
            <c:extLst>
              <c:ext xmlns:c16="http://schemas.microsoft.com/office/drawing/2014/chart" uri="{C3380CC4-5D6E-409C-BE32-E72D297353CC}">
                <c16:uniqueId val="{00000001-40FE-4A65-807A-368ACA920266}"/>
              </c:ext>
            </c:extLst>
          </c:dPt>
          <c:dPt>
            <c:idx val="1"/>
            <c:invertIfNegative val="0"/>
            <c:bubble3D val="0"/>
            <c:spPr>
              <a:solidFill>
                <a:schemeClr val="tx1">
                  <a:lumMod val="95000"/>
                  <a:lumOff val="5000"/>
                </a:schemeClr>
              </a:solidFill>
              <a:ln>
                <a:noFill/>
              </a:ln>
              <a:effectLst/>
            </c:spPr>
            <c:extLst>
              <c:ext xmlns:c16="http://schemas.microsoft.com/office/drawing/2014/chart" uri="{C3380CC4-5D6E-409C-BE32-E72D297353CC}">
                <c16:uniqueId val="{00000003-40FE-4A65-807A-368ACA920266}"/>
              </c:ext>
            </c:extLst>
          </c:dPt>
          <c:dPt>
            <c:idx val="2"/>
            <c:invertIfNegative val="0"/>
            <c:bubble3D val="0"/>
            <c:spPr>
              <a:solidFill>
                <a:schemeClr val="tx1">
                  <a:lumMod val="85000"/>
                  <a:lumOff val="15000"/>
                </a:schemeClr>
              </a:solidFill>
              <a:ln>
                <a:noFill/>
              </a:ln>
              <a:effectLst/>
            </c:spPr>
            <c:extLst>
              <c:ext xmlns:c16="http://schemas.microsoft.com/office/drawing/2014/chart" uri="{C3380CC4-5D6E-409C-BE32-E72D297353CC}">
                <c16:uniqueId val="{00000005-40FE-4A65-807A-368ACA920266}"/>
              </c:ext>
            </c:extLst>
          </c:dPt>
          <c:dPt>
            <c:idx val="3"/>
            <c:invertIfNegative val="0"/>
            <c:bubble3D val="0"/>
            <c:spPr>
              <a:solidFill>
                <a:schemeClr val="tx1">
                  <a:lumMod val="85000"/>
                  <a:lumOff val="15000"/>
                </a:schemeClr>
              </a:solidFill>
              <a:ln>
                <a:noFill/>
              </a:ln>
              <a:effectLst/>
            </c:spPr>
            <c:extLst>
              <c:ext xmlns:c16="http://schemas.microsoft.com/office/drawing/2014/chart" uri="{C3380CC4-5D6E-409C-BE32-E72D297353CC}">
                <c16:uniqueId val="{00000007-40FE-4A65-807A-368ACA920266}"/>
              </c:ext>
            </c:extLst>
          </c:dPt>
          <c:dPt>
            <c:idx val="4"/>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9-40FE-4A65-807A-368ACA920266}"/>
              </c:ext>
            </c:extLst>
          </c:dPt>
          <c:dPt>
            <c:idx val="5"/>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B-40FE-4A65-807A-368ACA920266}"/>
              </c:ext>
            </c:extLst>
          </c:dPt>
          <c:dPt>
            <c:idx val="6"/>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D-40FE-4A65-807A-368ACA920266}"/>
              </c:ext>
            </c:extLst>
          </c:dPt>
          <c:dPt>
            <c:idx val="7"/>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F-40FE-4A65-807A-368ACA920266}"/>
              </c:ext>
            </c:extLst>
          </c:dPt>
          <c:dPt>
            <c:idx val="8"/>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11-40FE-4A65-807A-368ACA920266}"/>
              </c:ext>
            </c:extLst>
          </c:dPt>
          <c:dPt>
            <c:idx val="9"/>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13-40FE-4A65-807A-368ACA92026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'Media Influence on Age Groups'!$A$4:$A$14</c:f>
              <c:strCache>
                <c:ptCount val="10"/>
                <c:pt idx="0">
                  <c:v>60-69</c:v>
                </c:pt>
                <c:pt idx="1">
                  <c:v>0-14</c:v>
                </c:pt>
                <c:pt idx="2">
                  <c:v>20-24</c:v>
                </c:pt>
                <c:pt idx="3">
                  <c:v>40-49</c:v>
                </c:pt>
                <c:pt idx="4">
                  <c:v>50-59</c:v>
                </c:pt>
                <c:pt idx="5">
                  <c:v>70-79</c:v>
                </c:pt>
                <c:pt idx="6">
                  <c:v>80+</c:v>
                </c:pt>
                <c:pt idx="7">
                  <c:v>25-29</c:v>
                </c:pt>
                <c:pt idx="8">
                  <c:v>15-19</c:v>
                </c:pt>
                <c:pt idx="9">
                  <c:v>30-39</c:v>
                </c:pt>
              </c:strCache>
            </c:strRef>
          </c:cat>
          <c:val>
            <c:numRef>
              <c:f>'Media Influence on Age Groups'!$B$4:$B$14</c:f>
              <c:numCache>
                <c:formatCode>_(* #,##0.00_);_(* \(#,##0.00\);_(* "-"??_);_(@_)</c:formatCode>
                <c:ptCount val="10"/>
                <c:pt idx="0">
                  <c:v>5.68921568627451</c:v>
                </c:pt>
                <c:pt idx="1">
                  <c:v>5.5978152929493543</c:v>
                </c:pt>
                <c:pt idx="2">
                  <c:v>5.5808612440191387</c:v>
                </c:pt>
                <c:pt idx="3">
                  <c:v>5.5064935064935066</c:v>
                </c:pt>
                <c:pt idx="4">
                  <c:v>5.4615384615384617</c:v>
                </c:pt>
                <c:pt idx="5">
                  <c:v>5.4584221748400852</c:v>
                </c:pt>
                <c:pt idx="6">
                  <c:v>5.4504596527068436</c:v>
                </c:pt>
                <c:pt idx="7">
                  <c:v>5.4496919917864473</c:v>
                </c:pt>
                <c:pt idx="8">
                  <c:v>5.4398422090729781</c:v>
                </c:pt>
                <c:pt idx="9">
                  <c:v>5.4172380019588635</c:v>
                </c:pt>
              </c:numCache>
            </c:numRef>
          </c:val>
          <c:extLst>
            <c:ext xmlns:c16="http://schemas.microsoft.com/office/drawing/2014/chart" uri="{C3380CC4-5D6E-409C-BE32-E72D297353CC}">
              <c16:uniqueId val="{00000014-40FE-4A65-807A-368ACA920266}"/>
            </c:ext>
          </c:extLst>
        </c:ser>
        <c:dLbls>
          <c:dLblPos val="outEnd"/>
          <c:showLegendKey val="0"/>
          <c:showVal val="1"/>
          <c:showCatName val="0"/>
          <c:showSerName val="0"/>
          <c:showPercent val="0"/>
          <c:showBubbleSize val="0"/>
        </c:dLbls>
        <c:gapWidth val="102"/>
        <c:overlap val="-27"/>
        <c:axId val="85803775"/>
        <c:axId val="85804735"/>
      </c:barChart>
      <c:catAx>
        <c:axId val="85803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04735"/>
        <c:crosses val="autoZero"/>
        <c:auto val="1"/>
        <c:lblAlgn val="ctr"/>
        <c:lblOffset val="100"/>
        <c:noMultiLvlLbl val="0"/>
      </c:catAx>
      <c:valAx>
        <c:axId val="85804735"/>
        <c:scaling>
          <c:orientation val="minMax"/>
        </c:scaling>
        <c:delete val="1"/>
        <c:axPos val="l"/>
        <c:numFmt formatCode="_(* #,##0.00_);_(* \(#,##0.00\);_(* &quot;-&quot;??_);_(@_)" sourceLinked="1"/>
        <c:majorTickMark val="none"/>
        <c:minorTickMark val="none"/>
        <c:tickLblPos val="nextTo"/>
        <c:crossAx val="85803775"/>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[Task 18B^^.YOUTHWELL INTELLIGENCE YOUTH SMOKING AND SUBSTANCE USE TRENDS.xlsx]Access to Counseling by Age Gro!PivotTable6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 to Counseling by Age Group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1">
              <a:lumMod val="95000"/>
              <a:lumOff val="5000"/>
            </a:schemeClr>
          </a:solidFill>
          <a:ln>
            <a:noFill/>
          </a:ln>
          <a:effectLst/>
        </c:spPr>
      </c:pivotFmt>
      <c:pivotFmt>
        <c:idx val="2"/>
        <c:spPr>
          <a:solidFill>
            <a:schemeClr val="tx1">
              <a:lumMod val="95000"/>
              <a:lumOff val="5000"/>
            </a:schemeClr>
          </a:solidFill>
          <a:ln>
            <a:noFill/>
          </a:ln>
          <a:effectLst/>
        </c:spPr>
      </c:pivotFmt>
      <c:pivotFmt>
        <c:idx val="3"/>
        <c:spPr>
          <a:solidFill>
            <a:schemeClr val="tx1">
              <a:lumMod val="85000"/>
              <a:lumOff val="15000"/>
            </a:schemeClr>
          </a:solidFill>
          <a:ln>
            <a:noFill/>
          </a:ln>
          <a:effectLst/>
        </c:spPr>
      </c:pivotFmt>
      <c:pivotFmt>
        <c:idx val="4"/>
        <c:spPr>
          <a:solidFill>
            <a:schemeClr val="tx1">
              <a:lumMod val="85000"/>
              <a:lumOff val="15000"/>
            </a:schemeClr>
          </a:solidFill>
          <a:ln>
            <a:noFill/>
          </a:ln>
          <a:effectLst/>
        </c:spPr>
      </c:pivotFmt>
      <c:pivotFmt>
        <c:idx val="5"/>
        <c:spPr>
          <a:solidFill>
            <a:schemeClr val="tx1">
              <a:lumMod val="75000"/>
              <a:lumOff val="25000"/>
            </a:schemeClr>
          </a:solidFill>
          <a:ln>
            <a:noFill/>
          </a:ln>
          <a:effectLst/>
        </c:spPr>
      </c:pivotFmt>
      <c:pivotFmt>
        <c:idx val="6"/>
        <c:spPr>
          <a:solidFill>
            <a:schemeClr val="tx1">
              <a:lumMod val="75000"/>
              <a:lumOff val="25000"/>
            </a:schemeClr>
          </a:solidFill>
          <a:ln>
            <a:noFill/>
          </a:ln>
          <a:effectLst/>
        </c:spPr>
      </c:pivotFmt>
      <c:pivotFmt>
        <c:idx val="7"/>
        <c:spPr>
          <a:solidFill>
            <a:schemeClr val="tx1">
              <a:lumMod val="65000"/>
              <a:lumOff val="35000"/>
            </a:schemeClr>
          </a:solidFill>
          <a:ln>
            <a:noFill/>
          </a:ln>
          <a:effectLst/>
        </c:spPr>
      </c:pivotFmt>
      <c:pivotFmt>
        <c:idx val="8"/>
        <c:spPr>
          <a:solidFill>
            <a:schemeClr val="tx1">
              <a:lumMod val="65000"/>
              <a:lumOff val="35000"/>
            </a:schemeClr>
          </a:solidFill>
          <a:ln>
            <a:noFill/>
          </a:ln>
          <a:effectLst/>
        </c:spPr>
      </c:pivotFmt>
      <c:pivotFmt>
        <c:idx val="9"/>
        <c:spPr>
          <a:solidFill>
            <a:schemeClr val="tx1">
              <a:lumMod val="50000"/>
              <a:lumOff val="50000"/>
            </a:schemeClr>
          </a:solidFill>
          <a:ln>
            <a:noFill/>
          </a:ln>
          <a:effectLst/>
        </c:spPr>
      </c:pivotFmt>
      <c:pivotFmt>
        <c:idx val="10"/>
        <c:spPr>
          <a:solidFill>
            <a:schemeClr val="tx1">
              <a:lumMod val="50000"/>
              <a:lumOff val="5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tx1">
              <a:lumMod val="50000"/>
              <a:lumOff val="50000"/>
            </a:schemeClr>
          </a:solidFill>
          <a:ln>
            <a:noFill/>
          </a:ln>
          <a:effectLst/>
        </c:spPr>
      </c:pivotFmt>
      <c:pivotFmt>
        <c:idx val="13"/>
        <c:spPr>
          <a:solidFill>
            <a:schemeClr val="tx1">
              <a:lumMod val="50000"/>
              <a:lumOff val="50000"/>
            </a:schemeClr>
          </a:solidFill>
          <a:ln>
            <a:noFill/>
          </a:ln>
          <a:effectLst/>
        </c:spPr>
      </c:pivotFmt>
      <c:pivotFmt>
        <c:idx val="14"/>
        <c:spPr>
          <a:solidFill>
            <a:schemeClr val="tx1">
              <a:lumMod val="65000"/>
              <a:lumOff val="35000"/>
            </a:schemeClr>
          </a:solidFill>
          <a:ln>
            <a:noFill/>
          </a:ln>
          <a:effectLst/>
        </c:spPr>
      </c:pivotFmt>
      <c:pivotFmt>
        <c:idx val="15"/>
        <c:spPr>
          <a:solidFill>
            <a:schemeClr val="tx1">
              <a:lumMod val="65000"/>
              <a:lumOff val="35000"/>
            </a:schemeClr>
          </a:solidFill>
          <a:ln>
            <a:noFill/>
          </a:ln>
          <a:effectLst/>
        </c:spPr>
      </c:pivotFmt>
      <c:pivotFmt>
        <c:idx val="16"/>
        <c:spPr>
          <a:solidFill>
            <a:schemeClr val="tx1">
              <a:lumMod val="75000"/>
              <a:lumOff val="25000"/>
            </a:schemeClr>
          </a:solidFill>
          <a:ln>
            <a:noFill/>
          </a:ln>
          <a:effectLst/>
        </c:spPr>
      </c:pivotFmt>
      <c:pivotFmt>
        <c:idx val="17"/>
        <c:spPr>
          <a:solidFill>
            <a:schemeClr val="tx1">
              <a:lumMod val="75000"/>
              <a:lumOff val="25000"/>
            </a:schemeClr>
          </a:solidFill>
          <a:ln>
            <a:noFill/>
          </a:ln>
          <a:effectLst/>
        </c:spPr>
      </c:pivotFmt>
      <c:pivotFmt>
        <c:idx val="18"/>
        <c:spPr>
          <a:solidFill>
            <a:schemeClr val="tx1">
              <a:lumMod val="85000"/>
              <a:lumOff val="15000"/>
            </a:schemeClr>
          </a:solidFill>
          <a:ln>
            <a:noFill/>
          </a:ln>
          <a:effectLst/>
        </c:spPr>
      </c:pivotFmt>
      <c:pivotFmt>
        <c:idx val="19"/>
        <c:spPr>
          <a:solidFill>
            <a:schemeClr val="tx1">
              <a:lumMod val="85000"/>
              <a:lumOff val="15000"/>
            </a:schemeClr>
          </a:solidFill>
          <a:ln>
            <a:noFill/>
          </a:ln>
          <a:effectLst/>
        </c:spPr>
      </c:pivotFmt>
      <c:pivotFmt>
        <c:idx val="20"/>
        <c:spPr>
          <a:solidFill>
            <a:schemeClr val="tx1">
              <a:lumMod val="95000"/>
              <a:lumOff val="5000"/>
            </a:schemeClr>
          </a:solidFill>
          <a:ln>
            <a:noFill/>
          </a:ln>
          <a:effectLst/>
        </c:spPr>
      </c:pivotFmt>
      <c:pivotFmt>
        <c:idx val="21"/>
        <c:spPr>
          <a:solidFill>
            <a:schemeClr val="tx1">
              <a:lumMod val="95000"/>
              <a:lumOff val="5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tx1">
              <a:lumMod val="50000"/>
              <a:lumOff val="50000"/>
            </a:schemeClr>
          </a:solidFill>
          <a:ln>
            <a:noFill/>
          </a:ln>
          <a:effectLst/>
        </c:spPr>
      </c:pivotFmt>
      <c:pivotFmt>
        <c:idx val="24"/>
        <c:spPr>
          <a:solidFill>
            <a:schemeClr val="tx1">
              <a:lumMod val="50000"/>
              <a:lumOff val="50000"/>
            </a:schemeClr>
          </a:solidFill>
          <a:ln>
            <a:noFill/>
          </a:ln>
          <a:effectLst/>
        </c:spPr>
      </c:pivotFmt>
      <c:pivotFmt>
        <c:idx val="25"/>
        <c:spPr>
          <a:solidFill>
            <a:schemeClr val="tx1">
              <a:lumMod val="65000"/>
              <a:lumOff val="35000"/>
            </a:schemeClr>
          </a:solidFill>
          <a:ln>
            <a:noFill/>
          </a:ln>
          <a:effectLst/>
        </c:spPr>
      </c:pivotFmt>
      <c:pivotFmt>
        <c:idx val="26"/>
        <c:spPr>
          <a:solidFill>
            <a:schemeClr val="tx1">
              <a:lumMod val="65000"/>
              <a:lumOff val="35000"/>
            </a:schemeClr>
          </a:solidFill>
          <a:ln>
            <a:noFill/>
          </a:ln>
          <a:effectLst/>
        </c:spPr>
      </c:pivotFmt>
      <c:pivotFmt>
        <c:idx val="27"/>
        <c:spPr>
          <a:solidFill>
            <a:schemeClr val="tx1">
              <a:lumMod val="75000"/>
              <a:lumOff val="25000"/>
            </a:schemeClr>
          </a:solidFill>
          <a:ln>
            <a:noFill/>
          </a:ln>
          <a:effectLst/>
        </c:spPr>
      </c:pivotFmt>
      <c:pivotFmt>
        <c:idx val="28"/>
        <c:spPr>
          <a:solidFill>
            <a:schemeClr val="tx1">
              <a:lumMod val="75000"/>
              <a:lumOff val="25000"/>
            </a:schemeClr>
          </a:solidFill>
          <a:ln>
            <a:noFill/>
          </a:ln>
          <a:effectLst/>
        </c:spPr>
      </c:pivotFmt>
      <c:pivotFmt>
        <c:idx val="29"/>
        <c:spPr>
          <a:solidFill>
            <a:schemeClr val="tx1">
              <a:lumMod val="85000"/>
              <a:lumOff val="15000"/>
            </a:schemeClr>
          </a:solidFill>
          <a:ln>
            <a:noFill/>
          </a:ln>
          <a:effectLst/>
        </c:spPr>
      </c:pivotFmt>
      <c:pivotFmt>
        <c:idx val="30"/>
        <c:spPr>
          <a:solidFill>
            <a:schemeClr val="tx1">
              <a:lumMod val="85000"/>
              <a:lumOff val="15000"/>
            </a:schemeClr>
          </a:solidFill>
          <a:ln>
            <a:noFill/>
          </a:ln>
          <a:effectLst/>
        </c:spPr>
      </c:pivotFmt>
      <c:pivotFmt>
        <c:idx val="31"/>
        <c:spPr>
          <a:solidFill>
            <a:schemeClr val="tx1">
              <a:lumMod val="95000"/>
              <a:lumOff val="5000"/>
            </a:schemeClr>
          </a:solidFill>
          <a:ln>
            <a:noFill/>
          </a:ln>
          <a:effectLst/>
        </c:spPr>
      </c:pivotFmt>
      <c:pivotFmt>
        <c:idx val="32"/>
        <c:spPr>
          <a:solidFill>
            <a:schemeClr val="tx1">
              <a:lumMod val="95000"/>
              <a:lumOff val="5000"/>
            </a:schemeClr>
          </a:solidFill>
          <a:ln>
            <a:noFill/>
          </a:ln>
          <a:effectLst/>
        </c:spPr>
      </c:pivotFmt>
    </c:pivotFmts>
    <c:plotArea>
      <c:layout>
        <c:manualLayout>
          <c:layoutTarget val="inner"/>
          <c:xMode val="edge"/>
          <c:yMode val="edge"/>
          <c:x val="9.9456036745406817E-2"/>
          <c:y val="0.17171296296296296"/>
          <c:w val="0.88665507436570434"/>
          <c:h val="0.77736111111111106"/>
        </c:manualLayout>
      </c:layout>
      <c:barChart>
        <c:barDir val="bar"/>
        <c:grouping val="clustered"/>
        <c:varyColors val="0"/>
        <c:ser>
          <c:idx val="0"/>
          <c:order val="0"/>
          <c:tx>
            <c:strRef>
              <c:f>'Access to Counseling by Age Gro'!$B$3</c:f>
              <c:strCache>
                <c:ptCount val="1"/>
                <c:pt idx="0">
                  <c:v>Total</c:v>
                </c:pt>
              </c:strCache>
            </c:strRef>
          </c:tx>
          <c:spPr>
            <a:solidFill>
              <a:schemeClr val="accent1"/>
            </a:solidFill>
            <a:ln>
              <a:noFill/>
            </a:ln>
            <a:effectLst/>
          </c:spPr>
          <c:invertIfNegative val="0"/>
          <c:dPt>
            <c:idx val="0"/>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01-7244-4A3E-8940-49A3CA1456B4}"/>
              </c:ext>
            </c:extLst>
          </c:dPt>
          <c:dPt>
            <c:idx val="1"/>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03-7244-4A3E-8940-49A3CA1456B4}"/>
              </c:ext>
            </c:extLst>
          </c:dPt>
          <c:dPt>
            <c:idx val="2"/>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5-7244-4A3E-8940-49A3CA1456B4}"/>
              </c:ext>
            </c:extLst>
          </c:dPt>
          <c:dPt>
            <c:idx val="3"/>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7-7244-4A3E-8940-49A3CA1456B4}"/>
              </c:ext>
            </c:extLst>
          </c:dPt>
          <c:dPt>
            <c:idx val="4"/>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9-7244-4A3E-8940-49A3CA1456B4}"/>
              </c:ext>
            </c:extLst>
          </c:dPt>
          <c:dPt>
            <c:idx val="5"/>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B-7244-4A3E-8940-49A3CA1456B4}"/>
              </c:ext>
            </c:extLst>
          </c:dPt>
          <c:dPt>
            <c:idx val="6"/>
            <c:invertIfNegative val="0"/>
            <c:bubble3D val="0"/>
            <c:spPr>
              <a:solidFill>
                <a:schemeClr val="tx1">
                  <a:lumMod val="85000"/>
                  <a:lumOff val="15000"/>
                </a:schemeClr>
              </a:solidFill>
              <a:ln>
                <a:noFill/>
              </a:ln>
              <a:effectLst/>
            </c:spPr>
            <c:extLst>
              <c:ext xmlns:c16="http://schemas.microsoft.com/office/drawing/2014/chart" uri="{C3380CC4-5D6E-409C-BE32-E72D297353CC}">
                <c16:uniqueId val="{0000000D-7244-4A3E-8940-49A3CA1456B4}"/>
              </c:ext>
            </c:extLst>
          </c:dPt>
          <c:dPt>
            <c:idx val="7"/>
            <c:invertIfNegative val="0"/>
            <c:bubble3D val="0"/>
            <c:spPr>
              <a:solidFill>
                <a:schemeClr val="tx1">
                  <a:lumMod val="85000"/>
                  <a:lumOff val="15000"/>
                </a:schemeClr>
              </a:solidFill>
              <a:ln>
                <a:noFill/>
              </a:ln>
              <a:effectLst/>
            </c:spPr>
            <c:extLst>
              <c:ext xmlns:c16="http://schemas.microsoft.com/office/drawing/2014/chart" uri="{C3380CC4-5D6E-409C-BE32-E72D297353CC}">
                <c16:uniqueId val="{0000000F-7244-4A3E-8940-49A3CA1456B4}"/>
              </c:ext>
            </c:extLst>
          </c:dPt>
          <c:dPt>
            <c:idx val="8"/>
            <c:invertIfNegative val="0"/>
            <c:bubble3D val="0"/>
            <c:spPr>
              <a:solidFill>
                <a:schemeClr val="tx1">
                  <a:lumMod val="95000"/>
                  <a:lumOff val="5000"/>
                </a:schemeClr>
              </a:solidFill>
              <a:ln>
                <a:noFill/>
              </a:ln>
              <a:effectLst/>
            </c:spPr>
            <c:extLst>
              <c:ext xmlns:c16="http://schemas.microsoft.com/office/drawing/2014/chart" uri="{C3380CC4-5D6E-409C-BE32-E72D297353CC}">
                <c16:uniqueId val="{00000011-7244-4A3E-8940-49A3CA1456B4}"/>
              </c:ext>
            </c:extLst>
          </c:dPt>
          <c:dPt>
            <c:idx val="9"/>
            <c:invertIfNegative val="0"/>
            <c:bubble3D val="0"/>
            <c:spPr>
              <a:solidFill>
                <a:schemeClr val="tx1">
                  <a:lumMod val="95000"/>
                  <a:lumOff val="5000"/>
                </a:schemeClr>
              </a:solidFill>
              <a:ln>
                <a:noFill/>
              </a:ln>
              <a:effectLst/>
            </c:spPr>
            <c:extLst>
              <c:ext xmlns:c16="http://schemas.microsoft.com/office/drawing/2014/chart" uri="{C3380CC4-5D6E-409C-BE32-E72D297353CC}">
                <c16:uniqueId val="{00000013-7244-4A3E-8940-49A3CA1456B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'Access to Counseling by Age Gro'!$A$4:$A$14</c:f>
              <c:strCache>
                <c:ptCount val="10"/>
                <c:pt idx="0">
                  <c:v>20-24</c:v>
                </c:pt>
                <c:pt idx="1">
                  <c:v>30-39</c:v>
                </c:pt>
                <c:pt idx="2">
                  <c:v>60-69</c:v>
                </c:pt>
                <c:pt idx="3">
                  <c:v>15-19</c:v>
                </c:pt>
                <c:pt idx="4">
                  <c:v>0-14</c:v>
                </c:pt>
                <c:pt idx="5">
                  <c:v>50-59</c:v>
                </c:pt>
                <c:pt idx="6">
                  <c:v>40-49</c:v>
                </c:pt>
                <c:pt idx="7">
                  <c:v>80+</c:v>
                </c:pt>
                <c:pt idx="8">
                  <c:v>25-29</c:v>
                </c:pt>
                <c:pt idx="9">
                  <c:v>70-79</c:v>
                </c:pt>
              </c:strCache>
            </c:strRef>
          </c:cat>
          <c:val>
            <c:numRef>
              <c:f>'Access to Counseling by Age Gro'!$B$4:$B$14</c:f>
              <c:numCache>
                <c:formatCode>_-* #,##0_-;\-* #,##0_-;_-* "-"??_-;_-@_-</c:formatCode>
                <c:ptCount val="10"/>
                <c:pt idx="0">
                  <c:v>1045</c:v>
                </c:pt>
                <c:pt idx="1">
                  <c:v>1021</c:v>
                </c:pt>
                <c:pt idx="2">
                  <c:v>1020</c:v>
                </c:pt>
                <c:pt idx="3">
                  <c:v>1014</c:v>
                </c:pt>
                <c:pt idx="4">
                  <c:v>1007</c:v>
                </c:pt>
                <c:pt idx="5">
                  <c:v>1001</c:v>
                </c:pt>
                <c:pt idx="6">
                  <c:v>1001</c:v>
                </c:pt>
                <c:pt idx="7">
                  <c:v>979</c:v>
                </c:pt>
                <c:pt idx="8">
                  <c:v>974</c:v>
                </c:pt>
                <c:pt idx="9">
                  <c:v>938</c:v>
                </c:pt>
              </c:numCache>
            </c:numRef>
          </c:val>
          <c:extLst>
            <c:ext xmlns:c16="http://schemas.microsoft.com/office/drawing/2014/chart" uri="{C3380CC4-5D6E-409C-BE32-E72D297353CC}">
              <c16:uniqueId val="{00000014-7244-4A3E-8940-49A3CA1456B4}"/>
            </c:ext>
          </c:extLst>
        </c:ser>
        <c:dLbls>
          <c:showLegendKey val="0"/>
          <c:showVal val="0"/>
          <c:showCatName val="0"/>
          <c:showSerName val="0"/>
          <c:showPercent val="0"/>
          <c:showBubbleSize val="0"/>
        </c:dLbls>
        <c:gapWidth val="50"/>
        <c:axId val="1194621120"/>
        <c:axId val="1194623040"/>
      </c:barChart>
      <c:catAx>
        <c:axId val="11946211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623040"/>
        <c:crosses val="autoZero"/>
        <c:auto val="1"/>
        <c:lblAlgn val="ctr"/>
        <c:lblOffset val="100"/>
        <c:noMultiLvlLbl val="0"/>
      </c:catAx>
      <c:valAx>
        <c:axId val="1194623040"/>
        <c:scaling>
          <c:orientation val="minMax"/>
        </c:scaling>
        <c:delete val="1"/>
        <c:axPos val="b"/>
        <c:numFmt formatCode="_-* #,##0_-;\-* #,##0_-;_-* &quot;-&quot;??_-;_-@_-" sourceLinked="1"/>
        <c:majorTickMark val="none"/>
        <c:minorTickMark val="none"/>
        <c:tickLblPos val="nextTo"/>
        <c:crossAx val="1194621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[Task 18B^^.YOUTHWELL INTELLIGENCE YOUTH SMOKING AND SUBSTANCE USE TRENDS.xlsx]Parental Supervision by Gender!PivotTable7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Parental Supervision by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1">
              <a:lumMod val="95000"/>
              <a:lumOff val="5000"/>
            </a:schemeClr>
          </a:solidFill>
          <a:ln>
            <a:noFill/>
          </a:ln>
          <a:effectLst/>
        </c:spPr>
      </c:pivotFmt>
      <c:pivotFmt>
        <c:idx val="2"/>
        <c:spPr>
          <a:solidFill>
            <a:schemeClr val="tx1">
              <a:lumMod val="85000"/>
              <a:lumOff val="15000"/>
            </a:schemeClr>
          </a:solidFill>
          <a:ln>
            <a:noFill/>
          </a:ln>
          <a:effectLst/>
        </c:spPr>
      </c:pivotFmt>
      <c:pivotFmt>
        <c:idx val="3"/>
        <c:spPr>
          <a:solidFill>
            <a:schemeClr val="tx1">
              <a:lumMod val="75000"/>
              <a:lumOff val="25000"/>
            </a:schemeClr>
          </a:solidFill>
          <a:ln>
            <a:noFill/>
          </a:ln>
          <a:effectLst/>
        </c:spP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tx1">
              <a:lumMod val="95000"/>
              <a:lumOff val="5000"/>
            </a:schemeClr>
          </a:solidFill>
          <a:ln>
            <a:noFill/>
          </a:ln>
          <a:effectLst/>
        </c:spPr>
      </c:pivotFmt>
      <c:pivotFmt>
        <c:idx val="6"/>
        <c:spPr>
          <a:solidFill>
            <a:schemeClr val="tx1">
              <a:lumMod val="85000"/>
              <a:lumOff val="15000"/>
            </a:schemeClr>
          </a:solidFill>
          <a:ln>
            <a:noFill/>
          </a:ln>
          <a:effectLst/>
        </c:spPr>
      </c:pivotFmt>
      <c:pivotFmt>
        <c:idx val="7"/>
        <c:spPr>
          <a:solidFill>
            <a:schemeClr val="tx1">
              <a:lumMod val="75000"/>
              <a:lumOff val="25000"/>
            </a:schemeClr>
          </a:solidFill>
          <a:ln>
            <a:noFill/>
          </a:ln>
          <a:effectLst/>
        </c:spP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tx1">
              <a:lumMod val="95000"/>
              <a:lumOff val="5000"/>
            </a:schemeClr>
          </a:solidFill>
          <a:ln>
            <a:noFill/>
          </a:ln>
          <a:effectLst/>
        </c:spPr>
      </c:pivotFmt>
      <c:pivotFmt>
        <c:idx val="10"/>
        <c:spPr>
          <a:solidFill>
            <a:schemeClr val="tx1">
              <a:lumMod val="85000"/>
              <a:lumOff val="15000"/>
            </a:schemeClr>
          </a:solidFill>
          <a:ln>
            <a:noFill/>
          </a:ln>
          <a:effectLst/>
        </c:spPr>
      </c:pivotFmt>
      <c:pivotFmt>
        <c:idx val="11"/>
        <c:spPr>
          <a:solidFill>
            <a:schemeClr val="tx1">
              <a:lumMod val="75000"/>
              <a:lumOff val="25000"/>
            </a:schemeClr>
          </a:solidFill>
          <a:ln>
            <a:noFill/>
          </a:ln>
          <a:effectLst/>
        </c:spPr>
      </c:pivotFmt>
    </c:pivotFmts>
    <c:plotArea>
      <c:layout/>
      <c:barChart>
        <c:barDir val="col"/>
        <c:grouping val="clustered"/>
        <c:varyColors val="0"/>
        <c:ser>
          <c:idx val="0"/>
          <c:order val="0"/>
          <c:tx>
            <c:strRef>
              <c:f>'Parental Supervision by Gender'!$B$3</c:f>
              <c:strCache>
                <c:ptCount val="1"/>
                <c:pt idx="0">
                  <c:v>Total</c:v>
                </c:pt>
              </c:strCache>
            </c:strRef>
          </c:tx>
          <c:spPr>
            <a:solidFill>
              <a:schemeClr val="accent1"/>
            </a:solidFill>
            <a:ln>
              <a:noFill/>
            </a:ln>
            <a:effectLst/>
          </c:spPr>
          <c:invertIfNegative val="0"/>
          <c:dPt>
            <c:idx val="0"/>
            <c:invertIfNegative val="0"/>
            <c:bubble3D val="0"/>
            <c:spPr>
              <a:solidFill>
                <a:schemeClr val="tx1">
                  <a:lumMod val="95000"/>
                  <a:lumOff val="5000"/>
                </a:schemeClr>
              </a:solidFill>
              <a:ln>
                <a:noFill/>
              </a:ln>
              <a:effectLst/>
            </c:spPr>
            <c:extLst>
              <c:ext xmlns:c16="http://schemas.microsoft.com/office/drawing/2014/chart" uri="{C3380CC4-5D6E-409C-BE32-E72D297353CC}">
                <c16:uniqueId val="{00000001-4C1D-4604-B2B9-0B41A9329648}"/>
              </c:ext>
            </c:extLst>
          </c:dPt>
          <c:dPt>
            <c:idx val="1"/>
            <c:invertIfNegative val="0"/>
            <c:bubble3D val="0"/>
            <c:spPr>
              <a:solidFill>
                <a:schemeClr val="tx1">
                  <a:lumMod val="85000"/>
                  <a:lumOff val="15000"/>
                </a:schemeClr>
              </a:solidFill>
              <a:ln>
                <a:noFill/>
              </a:ln>
              <a:effectLst/>
            </c:spPr>
            <c:extLst>
              <c:ext xmlns:c16="http://schemas.microsoft.com/office/drawing/2014/chart" uri="{C3380CC4-5D6E-409C-BE32-E72D297353CC}">
                <c16:uniqueId val="{00000003-4C1D-4604-B2B9-0B41A9329648}"/>
              </c:ext>
            </c:extLst>
          </c:dPt>
          <c:dPt>
            <c:idx val="2"/>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5-4C1D-4604-B2B9-0B41A932964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'Parental Supervision by Gender'!$A$4:$A$7</c:f>
              <c:strCache>
                <c:ptCount val="3"/>
                <c:pt idx="0">
                  <c:v>Male</c:v>
                </c:pt>
                <c:pt idx="1">
                  <c:v>Both</c:v>
                </c:pt>
                <c:pt idx="2">
                  <c:v>Female</c:v>
                </c:pt>
              </c:strCache>
            </c:strRef>
          </c:cat>
          <c:val>
            <c:numRef>
              <c:f>'Parental Supervision by Gender'!$B$4:$B$7</c:f>
              <c:numCache>
                <c:formatCode>_(* #,##0.00_);_(* \(#,##0.00\);_(* "-"??_);_(@_)</c:formatCode>
                <c:ptCount val="3"/>
                <c:pt idx="0">
                  <c:v>5.5652701882210076</c:v>
                </c:pt>
                <c:pt idx="1">
                  <c:v>5.5472913616398243</c:v>
                </c:pt>
                <c:pt idx="2">
                  <c:v>5.470677605591006</c:v>
                </c:pt>
              </c:numCache>
            </c:numRef>
          </c:val>
          <c:extLst>
            <c:ext xmlns:c16="http://schemas.microsoft.com/office/drawing/2014/chart" uri="{C3380CC4-5D6E-409C-BE32-E72D297353CC}">
              <c16:uniqueId val="{00000006-4C1D-4604-B2B9-0B41A9329648}"/>
            </c:ext>
          </c:extLst>
        </c:ser>
        <c:dLbls>
          <c:dLblPos val="outEnd"/>
          <c:showLegendKey val="0"/>
          <c:showVal val="1"/>
          <c:showCatName val="0"/>
          <c:showSerName val="0"/>
          <c:showPercent val="0"/>
          <c:showBubbleSize val="0"/>
        </c:dLbls>
        <c:gapWidth val="219"/>
        <c:overlap val="-27"/>
        <c:axId val="1772925535"/>
        <c:axId val="1772924095"/>
      </c:barChart>
      <c:catAx>
        <c:axId val="1772925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2924095"/>
        <c:crosses val="autoZero"/>
        <c:auto val="1"/>
        <c:lblAlgn val="ctr"/>
        <c:lblOffset val="100"/>
        <c:noMultiLvlLbl val="0"/>
      </c:catAx>
      <c:valAx>
        <c:axId val="1772924095"/>
        <c:scaling>
          <c:orientation val="minMax"/>
        </c:scaling>
        <c:delete val="1"/>
        <c:axPos val="l"/>
        <c:numFmt formatCode="_(* #,##0.00_);_(* \(#,##0.00\);_(* &quot;-&quot;??_);_(@_)" sourceLinked="1"/>
        <c:majorTickMark val="none"/>
        <c:minorTickMark val="none"/>
        <c:tickLblPos val="nextTo"/>
        <c:crossAx val="1772925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TotalTime>
  <Pages>12</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obinna</dc:creator>
  <cp:keywords/>
  <dc:description/>
  <cp:lastModifiedBy>williams obinna</cp:lastModifiedBy>
  <cp:revision>5</cp:revision>
  <dcterms:created xsi:type="dcterms:W3CDTF">2025-05-04T01:33:00Z</dcterms:created>
  <dcterms:modified xsi:type="dcterms:W3CDTF">2025-05-04T01:37:00Z</dcterms:modified>
</cp:coreProperties>
</file>