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C6E"/>
          <w:sz w:val="32"/>
        </w:rPr>
        <w:t>Justificación Técnica</w:t>
      </w:r>
    </w:p>
    <w:p>
      <w:pPr>
        <w:jc w:val="center"/>
      </w:pPr>
      <w:r>
        <w:rPr>
          <w:rFonts w:ascii="Arial" w:hAnsi="Arial"/>
          <w:i/>
          <w:sz w:val="24"/>
        </w:rPr>
        <w:t>Sistema de Gestión de Convocatorias — USCO</w:t>
      </w:r>
    </w:p>
    <w:p/>
    <w:p>
      <w:pPr>
        <w:pStyle w:val="Heading1"/>
      </w:pPr>
      <w:r>
        <w:rPr>
          <w:color w:val="1A3C6E"/>
        </w:rPr>
        <w:t>1. Escalabilidad</w:t>
      </w:r>
    </w:p>
    <w:p>
      <w:pPr>
        <w:spacing w:after="120" w:line="276" w:lineRule="auto"/>
      </w:pPr>
      <w:r>
        <w:rPr>
          <w:rFonts w:ascii="Arial" w:hAnsi="Arial"/>
          <w:b w:val="0"/>
          <w:sz w:val="22"/>
        </w:rPr>
        <w:t>La escalabilidad del sistema se concibió desde una arquitectura desacoplada cliente-servidor, en la que el frontend (Angular) y el backend (Spring Boot) se despliegan como servicios independientes orquestados con Docker Compose. Esta separación permite escalar cada capa según la demanda: más réplicas del API sin tocar la interfaz, o un CDN para activos estáticos del frontend, sin acoplamiento entre capas.</w:t>
      </w:r>
    </w:p>
    <w:p>
      <w:pPr>
        <w:pStyle w:val="Heading2"/>
      </w:pPr>
      <w:r>
        <w:rPr>
          <w:color w:val="1A3C6E"/>
        </w:rPr>
        <w:t>1.1 Escalabilidad horizontal del backend</w:t>
      </w:r>
    </w:p>
    <w:p>
      <w:pPr>
        <w:spacing w:after="120" w:line="276" w:lineRule="auto"/>
      </w:pPr>
      <w:r>
        <w:rPr>
          <w:rFonts w:ascii="Arial" w:hAnsi="Arial"/>
          <w:b w:val="0"/>
          <w:sz w:val="22"/>
        </w:rPr>
        <w:t>La autenticación se implementó con JWT (JSON Web Tokens) y política de sesión stateless (SessionCreationPolicy.STATELESS). Cada petición lleva su propio token; el servidor no mantiene sesión en memoria. Esto facilita el despliegue detrás de un balanceador de carga con múltiples instancias del API, ya que cualquier nodo puede atender cualquier request sin afinidad de sesión.</w:t>
      </w:r>
    </w:p>
    <w:p>
      <w:pPr>
        <w:spacing w:after="120" w:line="276" w:lineRule="auto"/>
      </w:pPr>
      <w:r>
        <w:rPr>
          <w:rFonts w:ascii="Arial" w:hAnsi="Arial"/>
          <w:b w:val="0"/>
          <w:sz w:val="22"/>
        </w:rPr>
        <w:t>La autorización se aplica en dos niveles: HTTP (rutas protegidas en SecurityConfig) y método (@PreAuthorize con roles ADMIN, TEACHER, STUDENT). La validación de permisos viaja en el token y se revalida contra la base de datos al cargar el UserPrincipal, lo que mantiene coherencia entre réplicas.</w:t>
      </w:r>
    </w:p>
    <w:p>
      <w:pPr>
        <w:pStyle w:val="Heading2"/>
      </w:pPr>
      <w:r>
        <w:rPr>
          <w:color w:val="1A3C6E"/>
        </w:rPr>
        <w:t>1.2 Escalabilidad de datos y consultas</w:t>
      </w:r>
    </w:p>
    <w:p>
      <w:pPr>
        <w:spacing w:after="120" w:line="276" w:lineRule="auto"/>
      </w:pPr>
      <w:r>
        <w:rPr>
          <w:rFonts w:ascii="Arial" w:hAnsi="Arial"/>
          <w:b w:val="0"/>
          <w:sz w:val="22"/>
        </w:rPr>
        <w:t>Se adoptó PostgreSQL como motor relacional por su robustez transaccional, soporte de índices parciales y enums nativos, adecuado para reglas de negocio como la restricción de una petición por usuario y convocatoria.</w:t>
      </w:r>
    </w:p>
    <w:p>
      <w:pPr>
        <w:spacing w:after="120" w:line="276" w:lineRule="auto"/>
      </w:pPr>
      <w:r>
        <w:rPr>
          <w:rFonts w:ascii="Arial" w:hAnsi="Arial"/>
          <w:b w:val="0"/>
          <w:sz w:val="22"/>
        </w:rPr>
        <w:t>Para evitar cargar colecciones completas en memoria, los listados principales (convocatorias, categorías, peticiones) implementan paginación server-side mediante Pageable de Spring Data y el DTO ApiPage&lt;T&gt;, que expone metadatos (totalElements, totalPages, first, last). El frontend consume estos endpoints con parámetros page y size, reduciendo transferencia de red y presión sobre la JVM.</w:t>
      </w:r>
    </w:p>
    <w:p>
      <w:pPr>
        <w:spacing w:after="120" w:line="276" w:lineRule="auto"/>
      </w:pPr>
      <w:r>
        <w:rPr>
          <w:rFonts w:ascii="Arial" w:hAnsi="Arial"/>
          <w:b w:val="0"/>
          <w:sz w:val="22"/>
        </w:rPr>
        <w:t>Se configuró spring.jpa.open-in-view=false, evitando que Hibernate ejecute consultas lazy fuera del contexto transaccional. Complementariamente, los repositorios usan @EntityGraph para precargar relaciones frecuentes en una sola consulta optimizada. El esquema se gestiona con Flyway y ddl-auto=validate.</w:t>
      </w:r>
    </w:p>
    <w:p>
      <w:pPr>
        <w:pStyle w:val="Heading2"/>
      </w:pPr>
      <w:r>
        <w:rPr>
          <w:color w:val="1A3C6E"/>
        </w:rPr>
        <w:t>1.3 Patrones que favorecen el crecimiento del dominio</w:t>
      </w:r>
    </w:p>
    <w:p>
      <w:pPr>
        <w:pStyle w:val="ListBullet"/>
        <w:spacing w:line="276" w:lineRule="auto"/>
      </w:pPr>
      <w:r>
        <w:rPr>
          <w:rFonts w:ascii="Arial" w:hAnsi="Arial"/>
          <w:sz w:val="22"/>
        </w:rPr>
        <w:t>Soft delete (deleted_at) preserva integridad referencial e historial sin eliminación física.</w:t>
      </w:r>
    </w:p>
    <w:p>
      <w:pPr>
        <w:pStyle w:val="ListBullet"/>
        <w:spacing w:line="276" w:lineRule="auto"/>
      </w:pPr>
      <w:r>
        <w:rPr>
          <w:rFonts w:ascii="Arial" w:hAnsi="Arial"/>
          <w:sz w:val="22"/>
        </w:rPr>
        <w:t>Índices únicos parciales permiten reutilizar valores tras borrados lógicos.</w:t>
      </w:r>
    </w:p>
    <w:p>
      <w:pPr>
        <w:pStyle w:val="ListBullet"/>
        <w:spacing w:line="276" w:lineRule="auto"/>
      </w:pPr>
      <w:r>
        <w:rPr>
          <w:rFonts w:ascii="Arial" w:hAnsi="Arial"/>
          <w:sz w:val="22"/>
        </w:rPr>
        <w:t>Reportes agregados delegan conteos a consultas SQL en lugar de iterar entidades en memoria.</w:t>
      </w:r>
    </w:p>
    <w:p>
      <w:pPr>
        <w:pStyle w:val="Heading2"/>
      </w:pPr>
      <w:r>
        <w:rPr>
          <w:color w:val="1A3C6E"/>
        </w:rPr>
        <w:t>1.4 Límites actuales y evolución prevista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val="clear"/>
          </w:tcPr>
          <w:p>
            <w:r>
              <w:rPr>
                <w:rFonts w:ascii="Arial" w:hAnsi="Arial"/>
                <w:b/>
                <w:color w:val="FFFFFF"/>
                <w:sz w:val="20"/>
              </w:rPr>
              <w:t>Aspecto actual</w:t>
            </w:r>
          </w:p>
        </w:tc>
        <w:tc>
          <w:tcPr>
            <w:tcW w:type="dxa" w:w="3135"/>
            <w:shd w:fill="1A3C6E" w:val="clear"/>
          </w:tcPr>
          <w:p>
            <w:r>
              <w:rPr>
                <w:rFonts w:ascii="Arial" w:hAnsi="Arial"/>
                <w:b/>
                <w:color w:val="FFFFFF"/>
                <w:sz w:val="20"/>
              </w:rPr>
              <w:t>Impacto</w:t>
            </w:r>
          </w:p>
        </w:tc>
        <w:tc>
          <w:tcPr>
            <w:tcW w:type="dxa" w:w="3135"/>
            <w:shd w:fill="1A3C6E" w:val="clear"/>
          </w:tcPr>
          <w:p>
            <w:r>
              <w:rPr>
                <w:rFonts w:ascii="Arial" w:hAnsi="Arial"/>
                <w:b/>
                <w:color w:val="FFFFFF"/>
                <w:sz w:val="20"/>
              </w:rPr>
              <w:t>Evolución recomendada</w:t>
            </w:r>
          </w:p>
        </w:tc>
      </w:tr>
      <w:tr>
        <w:tc>
          <w:tcPr>
            <w:tcW w:type="dxa" w:w="3135"/>
          </w:tcPr>
          <w:p>
            <w:r>
              <w:rPr>
                <w:rFonts w:ascii="Arial" w:hAnsi="Arial"/>
                <w:sz w:val="20"/>
              </w:rPr>
              <w:t>Blacklist de tokens en memoria local</w:t>
            </w:r>
          </w:p>
        </w:tc>
        <w:tc>
          <w:tcPr>
            <w:tcW w:type="dxa" w:w="3135"/>
          </w:tcPr>
          <w:p>
            <w:r>
              <w:rPr>
                <w:rFonts w:ascii="Arial" w:hAnsi="Arial"/>
                <w:sz w:val="20"/>
              </w:rPr>
              <w:t>No compartida entre réplicas</w:t>
            </w:r>
          </w:p>
        </w:tc>
        <w:tc>
          <w:tcPr>
            <w:tcW w:type="dxa" w:w="3135"/>
          </w:tcPr>
          <w:p>
            <w:r>
              <w:rPr>
                <w:rFonts w:ascii="Arial" w:hAnsi="Arial"/>
                <w:sz w:val="20"/>
              </w:rPr>
              <w:t>Redis u otro almacén distribuido</w:t>
            </w:r>
          </w:p>
        </w:tc>
      </w:tr>
      <w:tr>
        <w:tc>
          <w:tcPr>
            <w:tcW w:type="dxa" w:w="3135"/>
          </w:tcPr>
          <w:p>
            <w:r>
              <w:rPr>
                <w:rFonts w:ascii="Arial" w:hAnsi="Arial"/>
                <w:sz w:val="20"/>
              </w:rPr>
              <w:t>Sin capa de caché</w:t>
            </w:r>
          </w:p>
        </w:tc>
        <w:tc>
          <w:tcPr>
            <w:tcW w:type="dxa" w:w="3135"/>
          </w:tcPr>
          <w:p>
            <w:r>
              <w:rPr>
                <w:rFonts w:ascii="Arial" w:hAnsi="Arial"/>
                <w:sz w:val="20"/>
              </w:rPr>
              <w:t>Cada lectura va a DB</w:t>
            </w:r>
          </w:p>
        </w:tc>
        <w:tc>
          <w:tcPr>
            <w:tcW w:type="dxa" w:w="3135"/>
          </w:tcPr>
          <w:p>
            <w:r>
              <w:rPr>
                <w:rFonts w:ascii="Arial" w:hAnsi="Arial"/>
                <w:sz w:val="20"/>
              </w:rPr>
              <w:t>@Cacheable + Redis para catálogos estables</w:t>
            </w:r>
          </w:p>
        </w:tc>
      </w:tr>
      <w:tr>
        <w:tc>
          <w:tcPr>
            <w:tcW w:type="dxa" w:w="3135"/>
          </w:tcPr>
          <w:p>
            <w:r>
              <w:rPr>
                <w:rFonts w:ascii="Arial" w:hAnsi="Arial"/>
                <w:sz w:val="20"/>
              </w:rPr>
              <w:t>Algunos reportes cargan findAll()</w:t>
            </w:r>
          </w:p>
        </w:tc>
        <w:tc>
          <w:tcPr>
            <w:tcW w:type="dxa" w:w="3135"/>
          </w:tcPr>
          <w:p>
            <w:r>
              <w:rPr>
                <w:rFonts w:ascii="Arial" w:hAnsi="Arial"/>
                <w:sz w:val="20"/>
              </w:rPr>
              <w:t>Presión en memoria con muchos registros</w:t>
            </w:r>
          </w:p>
        </w:tc>
        <w:tc>
          <w:tcPr>
            <w:tcW w:type="dxa" w:w="3135"/>
          </w:tcPr>
          <w:p>
            <w:r>
              <w:rPr>
                <w:rFonts w:ascii="Arial" w:hAnsi="Arial"/>
                <w:sz w:val="20"/>
              </w:rPr>
              <w:t>Consultas agregadas paginadas o vistas materializadas</w:t>
            </w:r>
          </w:p>
        </w:tc>
      </w:tr>
    </w:tbl>
    <w:p/>
    <w:p>
      <w:pPr>
        <w:pStyle w:val="Heading1"/>
      </w:pPr>
      <w:r>
        <w:rPr>
          <w:color w:val="1A3C6E"/>
        </w:rPr>
        <w:t>2. Decisiones de diseño</w:t>
      </w:r>
    </w:p>
    <w:p>
      <w:pPr>
        <w:pStyle w:val="Heading2"/>
      </w:pPr>
      <w:r>
        <w:rPr>
          <w:color w:val="1A3C6E"/>
        </w:rPr>
        <w:t>2.1 Arquitectura en capas por módulos de dominio</w:t>
      </w:r>
    </w:p>
    <w:p>
      <w:pPr>
        <w:spacing w:after="120" w:line="276" w:lineRule="auto"/>
      </w:pPr>
      <w:r>
        <w:rPr>
          <w:rFonts w:ascii="Arial" w:hAnsi="Arial"/>
          <w:b w:val="0"/>
          <w:sz w:val="22"/>
        </w:rPr>
        <w:t>El backend organiza el código en módulos de negocio (auth, user, categories, convocations, petitions, reports), cada uno con capas bien definidas: Interfaces (controladores REST), Application (DTOs y validadores) y Domain (entidades JPA, repositorios y servicios). Esta estructura, inspirada en DDD pragmático, separa el contrato HTTP de la lógica de dominio. Las transiciones de estado de convocatorias (BORRADOR → PUBLICADA → CERRADA) y peticiones (PENDIENTE → APROBADA | RECHAZADA) residen en los servicios de dominio.</w:t>
      </w:r>
    </w:p>
    <w:p>
      <w:pPr>
        <w:pStyle w:val="Heading2"/>
      </w:pPr>
      <w:r>
        <w:rPr>
          <w:color w:val="1A3C6E"/>
        </w:rPr>
        <w:t>2.2 Contrato de API uniforme</w:t>
      </w:r>
    </w:p>
    <w:p>
      <w:pPr>
        <w:spacing w:after="120" w:line="276" w:lineRule="auto"/>
      </w:pPr>
      <w:r>
        <w:rPr>
          <w:rFonts w:ascii="Arial" w:hAnsi="Arial"/>
          <w:b w:val="0"/>
          <w:sz w:val="22"/>
        </w:rPr>
        <w:t>Todas las respuestas exitosas se envuelven en ApiResponse&lt;T&gt; y los errores en ApiError, gestionados centralmente por GlobalExceptionHandler. La API se versiona bajo el prefijo /api/v1, permitiendo evolucionar contratos sin romper clientes existentes.</w:t>
      </w:r>
    </w:p>
    <w:p>
      <w:pPr>
        <w:pStyle w:val="Heading2"/>
      </w:pPr>
      <w:r>
        <w:rPr>
          <w:color w:val="1A3C6E"/>
        </w:rPr>
        <w:t>2.3 Modelo de dominio y reglas de integridad</w:t>
      </w:r>
    </w:p>
    <w:p>
      <w:pPr>
        <w:spacing w:after="120" w:line="276" w:lineRule="auto"/>
      </w:pPr>
      <w:r>
        <w:rPr>
          <w:rFonts w:ascii="Arial" w:hAnsi="Arial"/>
          <w:b w:val="0"/>
          <w:sz w:val="22"/>
        </w:rPr>
        <w:t>El modelo relacional refleja el negocio de convocatorias académicas: usuarios con múltiples roles, convocatorias clasificadas por categorías y peticiones con restricción de unicidad por par usuario-convocatoria. Las reglas críticas se validan en capa de servicio: verificación de cupos, validación de fechas y control de que solo el creador puede editar su convocatoria.</w:t>
      </w:r>
    </w:p>
    <w:p>
      <w:pPr>
        <w:pStyle w:val="Heading2"/>
      </w:pPr>
      <w:r>
        <w:rPr>
          <w:color w:val="1A3C6E"/>
        </w:rPr>
        <w:t>2.4 Seguridad por diseño</w:t>
      </w:r>
    </w:p>
    <w:p>
      <w:pPr>
        <w:pStyle w:val="ListBullet"/>
        <w:spacing w:line="276" w:lineRule="auto"/>
      </w:pPr>
      <w:r>
        <w:rPr>
          <w:rFonts w:ascii="Arial" w:hAnsi="Arial"/>
          <w:sz w:val="22"/>
        </w:rPr>
        <w:t>Contraseñas hasheadas con BCrypt.</w:t>
      </w:r>
    </w:p>
    <w:p>
      <w:pPr>
        <w:pStyle w:val="ListBullet"/>
        <w:spacing w:line="276" w:lineRule="auto"/>
      </w:pPr>
      <w:r>
        <w:rPr>
          <w:rFonts w:ascii="Arial" w:hAnsi="Arial"/>
          <w:sz w:val="22"/>
        </w:rPr>
        <w:t>Tokens JWT con claims de id, roles y expiración configurable.</w:t>
      </w:r>
    </w:p>
    <w:p>
      <w:pPr>
        <w:pStyle w:val="ListBullet"/>
        <w:spacing w:line="276" w:lineRule="auto"/>
      </w:pPr>
      <w:r>
        <w:rPr>
          <w:rFonts w:ascii="Arial" w:hAnsi="Arial"/>
          <w:sz w:val="22"/>
        </w:rPr>
        <w:t>Filtro JwtAuthenticationFilter que valida cada request autenticado.</w:t>
      </w:r>
    </w:p>
    <w:p>
      <w:pPr>
        <w:pStyle w:val="ListBullet"/>
        <w:spacing w:line="276" w:lineRule="auto"/>
      </w:pPr>
      <w:r>
        <w:rPr>
          <w:rFonts w:ascii="Arial" w:hAnsi="Arial"/>
          <w:sz w:val="22"/>
        </w:rPr>
        <w:t>Guards funcionales (authGuard, roleGuard) e interceptor HTTP en Angular.</w:t>
      </w:r>
    </w:p>
    <w:p>
      <w:pPr>
        <w:pStyle w:val="Heading2"/>
      </w:pPr>
      <w:r>
        <w:rPr>
          <w:color w:val="1A3C6E"/>
        </w:rPr>
        <w:t>2.5 Arquitectura frontend modular</w:t>
      </w:r>
    </w:p>
    <w:p>
      <w:pPr>
        <w:spacing w:after="120" w:line="276" w:lineRule="auto"/>
      </w:pPr>
      <w:r>
        <w:rPr>
          <w:rFonts w:ascii="Arial" w:hAnsi="Arial"/>
          <w:b w:val="0"/>
          <w:sz w:val="22"/>
        </w:rPr>
        <w:t>Angular 20 con componentes standalone y lazy loading de rutas reduce el bundle inicial. La capa core/ centraliza modelos tipados, servicios HTTP por dominio y utilidades de roles. El estado de autenticación usa Angular Signals, alineado con el modelo reactivo moderno del framework.</w:t>
      </w:r>
    </w:p>
    <w:p>
      <w:pPr>
        <w:pStyle w:val="Heading2"/>
      </w:pPr>
      <w:r>
        <w:rPr>
          <w:color w:val="1A3C6E"/>
        </w:rPr>
        <w:t>2.6 Justificación de las tecnologías elegidas</w:t>
      </w:r>
    </w:p>
    <w:tbl>
      <w:tblPr>
        <w:tblStyle w:val="TableGrid"/>
        <w:tblW w:type="auto" w:w="0"/>
        <w:jc w:val="center"/>
        <w:tblLook w:firstColumn="1" w:firstRow="1" w:lastColumn="0" w:lastRow="0" w:noHBand="0" w:noVBand="1" w:val="04A0"/>
      </w:tblPr>
      <w:tblGrid>
        <w:gridCol w:w="4703"/>
        <w:gridCol w:w="4703"/>
      </w:tblGrid>
      <w:tr>
        <w:tc>
          <w:tcPr>
            <w:tcW w:type="dxa" w:w="4703"/>
            <w:shd w:fill="1A3C6E" w:val="clear"/>
          </w:tcPr>
          <w:p>
            <w:r>
              <w:rPr>
                <w:rFonts w:ascii="Arial" w:hAnsi="Arial"/>
                <w:b/>
                <w:color w:val="FFFFFF"/>
                <w:sz w:val="20"/>
              </w:rPr>
              <w:t>Tecnología</w:t>
            </w:r>
          </w:p>
        </w:tc>
        <w:tc>
          <w:tcPr>
            <w:tcW w:type="dxa" w:w="4703"/>
            <w:shd w:fill="1A3C6E" w:val="clear"/>
          </w:tcPr>
          <w:p>
            <w:r>
              <w:rPr>
                <w:rFonts w:ascii="Arial" w:hAnsi="Arial"/>
                <w:b/>
                <w:color w:val="FFFFFF"/>
                <w:sz w:val="20"/>
              </w:rPr>
              <w:t>Razón de selección</w:t>
            </w:r>
          </w:p>
        </w:tc>
      </w:tr>
      <w:tr>
        <w:tc>
          <w:tcPr>
            <w:tcW w:type="dxa" w:w="4703"/>
          </w:tcPr>
          <w:p>
            <w:r>
              <w:rPr>
                <w:rFonts w:ascii="Arial" w:hAnsi="Arial"/>
                <w:sz w:val="20"/>
              </w:rPr>
              <w:t>Spring Boot 3.5</w:t>
            </w:r>
          </w:p>
        </w:tc>
        <w:tc>
          <w:tcPr>
            <w:tcW w:type="dxa" w:w="4703"/>
          </w:tcPr>
          <w:p>
            <w:r>
              <w:rPr>
                <w:rFonts w:ascii="Arial" w:hAnsi="Arial"/>
                <w:sz w:val="20"/>
              </w:rPr>
              <w:t>Ecosistema maduro, integración nativa con JPA, Security y validación</w:t>
            </w:r>
          </w:p>
        </w:tc>
      </w:tr>
      <w:tr>
        <w:tc>
          <w:tcPr>
            <w:tcW w:type="dxa" w:w="4703"/>
          </w:tcPr>
          <w:p>
            <w:r>
              <w:rPr>
                <w:rFonts w:ascii="Arial" w:hAnsi="Arial"/>
                <w:sz w:val="20"/>
              </w:rPr>
              <w:t>PostgreSQL 17</w:t>
            </w:r>
          </w:p>
        </w:tc>
        <w:tc>
          <w:tcPr>
            <w:tcW w:type="dxa" w:w="4703"/>
          </w:tcPr>
          <w:p>
            <w:r>
              <w:rPr>
                <w:rFonts w:ascii="Arial" w:hAnsi="Arial"/>
                <w:sz w:val="20"/>
              </w:rPr>
              <w:t>Integridad referencial, índices parciales, enums tipados</w:t>
            </w:r>
          </w:p>
        </w:tc>
      </w:tr>
      <w:tr>
        <w:tc>
          <w:tcPr>
            <w:tcW w:type="dxa" w:w="4703"/>
          </w:tcPr>
          <w:p>
            <w:r>
              <w:rPr>
                <w:rFonts w:ascii="Arial" w:hAnsi="Arial"/>
                <w:sz w:val="20"/>
              </w:rPr>
              <w:t>Angular 20</w:t>
            </w:r>
          </w:p>
        </w:tc>
        <w:tc>
          <w:tcPr>
            <w:tcW w:type="dxa" w:w="4703"/>
          </w:tcPr>
          <w:p>
            <w:r>
              <w:rPr>
                <w:rFonts w:ascii="Arial" w:hAnsi="Arial"/>
                <w:sz w:val="20"/>
              </w:rPr>
              <w:t>Framework empresarial con tipado fuerte, routing y guards robustos</w:t>
            </w:r>
          </w:p>
        </w:tc>
      </w:tr>
      <w:tr>
        <w:tc>
          <w:tcPr>
            <w:tcW w:type="dxa" w:w="4703"/>
          </w:tcPr>
          <w:p>
            <w:r>
              <w:rPr>
                <w:rFonts w:ascii="Arial" w:hAnsi="Arial"/>
                <w:sz w:val="20"/>
              </w:rPr>
              <w:t>Flyway</w:t>
            </w:r>
          </w:p>
        </w:tc>
        <w:tc>
          <w:tcPr>
            <w:tcW w:type="dxa" w:w="4703"/>
          </w:tcPr>
          <w:p>
            <w:r>
              <w:rPr>
                <w:rFonts w:ascii="Arial" w:hAnsi="Arial"/>
                <w:sz w:val="20"/>
              </w:rPr>
              <w:t>Migraciones versionadas y auditables del esquema</w:t>
            </w:r>
          </w:p>
        </w:tc>
      </w:tr>
      <w:tr>
        <w:tc>
          <w:tcPr>
            <w:tcW w:type="dxa" w:w="4703"/>
          </w:tcPr>
          <w:p>
            <w:r>
              <w:rPr>
                <w:rFonts w:ascii="Arial" w:hAnsi="Arial"/>
                <w:sz w:val="20"/>
              </w:rPr>
              <w:t>JWT</w:t>
            </w:r>
          </w:p>
        </w:tc>
        <w:tc>
          <w:tcPr>
            <w:tcW w:type="dxa" w:w="4703"/>
          </w:tcPr>
          <w:p>
            <w:r>
              <w:rPr>
                <w:rFonts w:ascii="Arial" w:hAnsi="Arial"/>
                <w:sz w:val="20"/>
              </w:rPr>
              <w:t>Autenticación stateless compatible con arquitecturas distribuidas</w:t>
            </w:r>
          </w:p>
        </w:tc>
      </w:tr>
      <w:tr>
        <w:tc>
          <w:tcPr>
            <w:tcW w:type="dxa" w:w="4703"/>
          </w:tcPr>
          <w:p>
            <w:r>
              <w:rPr>
                <w:rFonts w:ascii="Arial" w:hAnsi="Arial"/>
                <w:sz w:val="20"/>
              </w:rPr>
              <w:t>Docker</w:t>
            </w:r>
          </w:p>
        </w:tc>
        <w:tc>
          <w:tcPr>
            <w:tcW w:type="dxa" w:w="4703"/>
          </w:tcPr>
          <w:p>
            <w:r>
              <w:rPr>
                <w:rFonts w:ascii="Arial" w:hAnsi="Arial"/>
                <w:sz w:val="20"/>
              </w:rPr>
              <w:t>Portabilidad y aislamiento de dependencias entre entornos</w:t>
            </w:r>
          </w:p>
        </w:tc>
      </w:tr>
    </w:tbl>
    <w:p/>
    <w:p>
      <w:pPr>
        <w:pStyle w:val="Heading1"/>
      </w:pPr>
      <w:r>
        <w:rPr>
          <w:color w:val="1A3C6E"/>
        </w:rPr>
        <w:t>Conclusión</w:t>
      </w:r>
    </w:p>
    <w:p>
      <w:pPr>
        <w:spacing w:after="120" w:line="276" w:lineRule="auto"/>
      </w:pPr>
      <w:r>
        <w:rPr>
          <w:rFonts w:ascii="Arial" w:hAnsi="Arial"/>
          <w:b w:val="0"/>
          <w:sz w:val="22"/>
        </w:rPr>
        <w:t>El sistema prioriza una arquitectura modular, desacoplada y stateless que soporta crecimiento incremental del volumen de usuarios y convocatorias mediante paginación, consultas optimizadas y despliegue containerizado. Las decisiones de diseño —capas por dominio, contrato API uniforme, seguridad en profundidad y frontend modular con control de acceso por roles— responden a requisitos de mantenibilidad, trazabilidad y evolución futura del producto, con un camino claro hacia caché distribuida y blacklist compartida cuando la carga lo exija.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