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0" w:line="360"/>
      </w:pPr>
      <w:r>
        <w:rPr>
          <w:rFonts w:ascii="Times New Roman" w:cs="Times New Roman" w:eastAsia="Times New Roman" w:hAnsi="Times New Roman"/>
          <w:b/>
          <w:bCs/>
          <w:sz w:val="32"/>
          <w:szCs w:val="32"/>
        </w:rPr>
        <w:t xml:space="preserve">6  Makroøkonomisk landeanalyse af Japan</w:t>
      </w:r>
    </w:p>
    <w:p>
      <w:pPr>
        <w:spacing w:after="120" w:line="360"/>
        <w:jc w:val="both"/>
      </w:pPr>
      <w:r>
        <w:rPr>
          <w:rFonts w:ascii="Times New Roman" w:cs="Times New Roman" w:eastAsia="Times New Roman" w:hAnsi="Times New Roman"/>
          <w:sz w:val="24"/>
          <w:szCs w:val="24"/>
        </w:rPr>
        <w:t xml:space="preserve">Japans BNP er vokset mellem 0,9 og 2,2 pct. årligt siden 2021 </w:t>
      </w:r>
      <w:r>
        <w:rPr>
          <w:rFonts w:ascii="Times New Roman" w:cs="Times New Roman" w:eastAsia="Times New Roman" w:hAnsi="Times New Roman"/>
          <w:b/>
          <w:bCs/>
          <w:color w:val="C00000"/>
          <w:sz w:val="24"/>
          <w:szCs w:val="24"/>
        </w:rPr>
        <w:t xml:space="preserve">[KILDE]</w:t>
      </w:r>
      <w:r>
        <w:rPr>
          <w:rFonts w:ascii="Times New Roman" w:cs="Times New Roman" w:eastAsia="Times New Roman" w:hAnsi="Times New Roman"/>
          <w:sz w:val="24"/>
          <w:szCs w:val="24"/>
        </w:rPr>
        <w:t xml:space="preserve">. Det placerer landet i den nedre ende af det interval på 1-2 pct., der betegnes som stabil vækst. Umiddelbart er der ikke tale om en krise: ledigheden er lav, inflationen ligger omkring målsætningen på 2 pct., og betalingsbalancen viser et overskud på ca. 4 pct. af BNP.</w:t>
      </w:r>
    </w:p>
    <w:p>
      <w:pPr>
        <w:spacing w:after="120" w:line="360"/>
        <w:jc w:val="both"/>
      </w:pPr>
      <w:r>
        <w:rPr>
          <w:rFonts w:ascii="Times New Roman" w:cs="Times New Roman" w:eastAsia="Times New Roman" w:hAnsi="Times New Roman"/>
          <w:sz w:val="24"/>
          <w:szCs w:val="24"/>
        </w:rPr>
        <w:t xml:space="preserve">Undersøges vækstens sammensætning, tegner der sig et andet billede. Ganges hver komponents realvækst med dens andel af BNP, fremgår det, at privatforbruget, som udgør 54 pct. af økonomien, kun bidrog med ca. 0,4 pct.point årligt i 2023-2025, mens investeringer og nettoeksport bar væksten. Den indenlandske efterspørgsel er dermed svag.</w:t>
      </w:r>
    </w:p>
    <w:p>
      <w:pPr>
        <w:spacing w:after="120" w:line="360"/>
        <w:jc w:val="both"/>
      </w:pPr>
      <w:r>
        <w:rPr>
          <w:rFonts w:ascii="Times New Roman" w:cs="Times New Roman" w:eastAsia="Times New Roman" w:hAnsi="Times New Roman"/>
          <w:sz w:val="24"/>
          <w:szCs w:val="24"/>
        </w:rPr>
        <w:t xml:space="preserve">Forklaringen findes i prisudviklingen. I 2022 steg forbrugerpriserne 2,5 pct., mens kerneinflationen kun steg 0,3 pct. Da kerneinflationen er renset for energi og fødevarer, viser gabet, at inflationen var importeret og dermed udbudsbestemt — udløst af stigende energipriser og en svækkelse af yennen fra ca. 110 til ca. 151 yen pr. dollar </w:t>
      </w:r>
      <w:r>
        <w:rPr>
          <w:rFonts w:ascii="Times New Roman" w:cs="Times New Roman" w:eastAsia="Times New Roman" w:hAnsi="Times New Roman"/>
          <w:b/>
          <w:bCs/>
          <w:color w:val="C00000"/>
          <w:sz w:val="24"/>
          <w:szCs w:val="24"/>
        </w:rPr>
        <w:t xml:space="preserve">[KILDE]</w:t>
      </w:r>
      <w:r>
        <w:rPr>
          <w:rFonts w:ascii="Times New Roman" w:cs="Times New Roman" w:eastAsia="Times New Roman" w:hAnsi="Times New Roman"/>
          <w:sz w:val="24"/>
          <w:szCs w:val="24"/>
        </w:rPr>
        <w:t xml:space="preserve">. Prisstigningerne oversteg lønstigningerne, og husholdningerne har opretholdt forbruget ved at sænke opsparingskvoten fra 7,7 til 1,8 pct. af den disponible indkomst </w:t>
      </w:r>
      <w:r>
        <w:rPr>
          <w:rFonts w:ascii="Times New Roman" w:cs="Times New Roman" w:eastAsia="Times New Roman" w:hAnsi="Times New Roman"/>
          <w:b/>
          <w:bCs/>
          <w:color w:val="C00000"/>
          <w:sz w:val="24"/>
          <w:szCs w:val="24"/>
        </w:rPr>
        <w:t xml:space="preserve">[KILDE]</w:t>
      </w:r>
      <w:r>
        <w:rPr>
          <w:rFonts w:ascii="Times New Roman" w:cs="Times New Roman" w:eastAsia="Times New Roman" w:hAnsi="Times New Roman"/>
          <w:sz w:val="24"/>
          <w:szCs w:val="24"/>
        </w:rPr>
        <w:t xml:space="preserve">. Den stødpude er nu opbrugt.</w:t>
      </w:r>
    </w:p>
    <w:p>
      <w:pPr>
        <w:spacing w:after="120" w:line="360"/>
        <w:jc w:val="both"/>
      </w:pPr>
      <w:r>
        <w:rPr>
          <w:rFonts w:ascii="Times New Roman" w:cs="Times New Roman" w:eastAsia="Times New Roman" w:hAnsi="Times New Roman"/>
          <w:sz w:val="24"/>
          <w:szCs w:val="24"/>
        </w:rPr>
        <w:t xml:space="preserve">At det stramme arbejdsmarked med en ledighed på 2,4 pct. ikke har udløst lønpres, som Phillipskurven ville forudsige, skyldes strukturelle forhold: en faldende arbejdsstyrke, senioritetsbaseret løndannelse og deflationsforventninger forankret gennem tre årtier.</w:t>
      </w:r>
    </w:p>
    <w:p>
      <w:pPr>
        <w:spacing w:after="120" w:line="360"/>
        <w:jc w:val="both"/>
      </w:pPr>
      <w:r>
        <w:rPr>
          <w:rFonts w:ascii="Times New Roman" w:cs="Times New Roman" w:eastAsia="Times New Roman" w:hAnsi="Times New Roman"/>
          <w:sz w:val="24"/>
          <w:szCs w:val="24"/>
        </w:rPr>
        <w:t xml:space="preserve">Endelig udgør den offentlige gæld ca. 244 pct. af BNP </w:t>
      </w:r>
      <w:r>
        <w:rPr>
          <w:rFonts w:ascii="Times New Roman" w:cs="Times New Roman" w:eastAsia="Times New Roman" w:hAnsi="Times New Roman"/>
          <w:b/>
          <w:bCs/>
          <w:color w:val="C00000"/>
          <w:sz w:val="24"/>
          <w:szCs w:val="24"/>
        </w:rPr>
        <w:t xml:space="preserve">[KILDE]</w:t>
      </w:r>
      <w:r>
        <w:rPr>
          <w:rFonts w:ascii="Times New Roman" w:cs="Times New Roman" w:eastAsia="Times New Roman" w:hAnsi="Times New Roman"/>
          <w:sz w:val="24"/>
          <w:szCs w:val="24"/>
        </w:rPr>
        <w:t xml:space="preserve">. Kvoten er alene stabiliseret, fordi inflationen har løftet den nominelle BNP-vækst over renten på gælden. Med Bank of Japans pengepolitiske normalisering vil ét pct.points højere gennemsnitsrente koste ca. 2,4 pct. af BNP — mere end budgetforbedringen fra 2021 til 2025 på 2,9 pct.point.</w:t>
      </w:r>
    </w:p>
    <w:p>
      <w:pPr>
        <w:spacing w:after="120" w:line="360"/>
        <w:jc w:val="both"/>
      </w:pPr>
      <w:r>
        <w:rPr>
          <w:rFonts w:ascii="Times New Roman" w:cs="Times New Roman" w:eastAsia="Times New Roman" w:hAnsi="Times New Roman"/>
          <w:sz w:val="24"/>
          <w:szCs w:val="24"/>
        </w:rPr>
        <w:t xml:space="preserve">Samlet har yensvækkelsen forbedret Japans priskonkurrenceevne, men gevinsten er ikke kommet husholdningerne til gode. Konkurrenceevnen er opnået på bekostning af købekraften i den indenlandske økonomi.</w:t>
      </w:r>
    </w:p>
    <w:sectPr>
      <w:footerReference w:type="default" r:id="rId7"/>
      <w:pgSz w:w="11906" w:h="16838" w:orient="portrait"/>
      <w:pgMar w:top="1700" w:right="1417" w:bottom="1700"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pPr>
    <w:r>
      <w:rPr>
        <w:rFonts w:ascii="Times New Roman" w:cs="Times New Roman" w:eastAsia="Times New Roman" w:hAnsi="Times New Roman"/>
        <w:color w:val="595959"/>
        <w:sz w:val="18"/>
        <w:szCs w:val="18"/>
      </w:rPr>
      <w:t xml:space="preserve">[Dit navn] · [Skolens navn]</w:t>
    </w:r>
    <w:r>
      <w:rPr>
        <w:rFonts w:ascii="Times New Roman" w:cs="Times New Roman" w:eastAsia="Times New Roman" w:hAnsi="Times New Roman"/>
        <w:sz w:val="18"/>
        <w:szCs w:val="18"/>
      </w:rPr>
      <w:ptab w:alignment="right" w:relativeTo="margin" w:leader="none"/>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2026-09-05T14:35:44.135Z</dcterms:created>
  <dcterms:modified xsi:type="dcterms:W3CDTF">2026-09-05T14:35:44.136Z</dcterms:modified>
</cp:coreProperties>
</file>

<file path=docProps/custom.xml><?xml version="1.0" encoding="utf-8"?>
<Properties xmlns="http://schemas.openxmlformats.org/officeDocument/2006/custom-properties" xmlns:vt="http://schemas.openxmlformats.org/officeDocument/2006/docPropsVTypes"/>
</file>