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pPr>
      <w:r>
        <w:rPr>
          <w:rFonts w:ascii="Times New Roman" w:cs="Times New Roman" w:eastAsia="Times New Roman" w:hAnsi="Times New Roman"/>
          <w:b/>
          <w:bCs/>
          <w:sz w:val="32"/>
          <w:szCs w:val="32"/>
        </w:rPr>
        <w:t xml:space="preserve">6  Makroøkonomisk landeanalyse af Japan</w:t>
      </w:r>
    </w:p>
    <w:p>
      <w:pPr>
        <w:pStyle w:val="Heading2"/>
        <w:spacing w:after="120" w:before="280" w:line="360"/>
      </w:pPr>
      <w:r>
        <w:rPr>
          <w:rFonts w:ascii="Times New Roman" w:cs="Times New Roman" w:eastAsia="Times New Roman" w:hAnsi="Times New Roman"/>
          <w:b/>
          <w:bCs/>
          <w:sz w:val="26"/>
          <w:szCs w:val="26"/>
        </w:rPr>
        <w:t xml:space="preserve">6.1  Vækstens sammensætning: eksporten trækker, forbrugeren står stille</w:t>
      </w:r>
    </w:p>
    <w:p>
      <w:pPr>
        <w:spacing w:after="120" w:line="360"/>
        <w:jc w:val="both"/>
      </w:pPr>
      <w:r>
        <w:rPr>
          <w:rFonts w:ascii="Times New Roman" w:cs="Times New Roman" w:eastAsia="Times New Roman" w:hAnsi="Times New Roman"/>
          <w:sz w:val="24"/>
          <w:szCs w:val="24"/>
        </w:rPr>
        <w:t xml:space="preserve">Japans BNP voksede med 2,2 pct. i 2021 og har siden ligget mellem 0,9 og 1,7 pct. årligt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Holdt op mod de holdepunkter, der anvendes i en makroøkonomisk landeanalyse, hvor stabil vækst ligger på 1-2 pct. og en vækst under 1 pct. betegnes som lavkonjunktur, placerer Japan sig i den nedre ende af det normale interval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Umiddelbart er der ikke tale om en økonomi i krise.</w:t>
      </w:r>
    </w:p>
    <w:p>
      <w:pPr>
        <w:spacing w:after="120" w:line="360"/>
        <w:jc w:val="both"/>
      </w:pPr>
      <w:r>
        <w:rPr>
          <w:rFonts w:ascii="Times New Roman" w:cs="Times New Roman" w:eastAsia="Times New Roman" w:hAnsi="Times New Roman"/>
          <w:sz w:val="24"/>
          <w:szCs w:val="24"/>
        </w:rPr>
        <w:t xml:space="preserve">Det interessante ligger imidlertid ikke i vækstraten, men i vækstens sammensætning. Ganger man hver komponents realvækst med dens andel af BNP, kan man opgøre komponenternes vækstbidrag, og her viser der sig et markant misforhold. Privatforbruget udgør ca. 54 pct. af BNP, men bidrog i 2023-2025 kun med omkring 0,4 pct.point årligt. De samlede investeringer udgør under halvdelen heraf, knap 26 pct. af BNP, men bidrog med op mod 0,7 pct.point. Nettoeksporten, der isoleret set er negativ, leverede i både 2021 og 2023 det største enkeltbidrag på henholdsvis 1,0 og 0,8 pct.point.</w:t>
      </w:r>
    </w:p>
    <w:p>
      <w:pPr>
        <w:pBdr>
          <w:top w:val="dashed" w:color="BFBFBF" w:sz="4" w:space="8"/>
          <w:bottom w:val="dashed" w:color="BFBFBF" w:sz="4" w:space="8"/>
        </w:pBdr>
        <w:spacing w:after="200" w:before="200" w:line="240"/>
        <w:jc w:val="center"/>
      </w:pPr>
      <w:r>
        <w:rPr>
          <w:rFonts w:ascii="Times New Roman" w:cs="Times New Roman" w:eastAsia="Times New Roman" w:hAnsi="Times New Roman"/>
          <w:i/>
          <w:iCs/>
          <w:color w:val="808080"/>
          <w:sz w:val="20"/>
          <w:szCs w:val="20"/>
        </w:rPr>
        <w:t xml:space="preserve">[Figur 1: Vækstbidrag fordelt på komponenter, 2021-2025. Enhed: pct.point. Kilde: ...]</w:t>
      </w:r>
    </w:p>
    <w:p>
      <w:pPr>
        <w:spacing w:after="120" w:line="360"/>
        <w:jc w:val="both"/>
      </w:pPr>
      <w:r>
        <w:rPr>
          <w:rFonts w:ascii="Times New Roman" w:cs="Times New Roman" w:eastAsia="Times New Roman" w:hAnsi="Times New Roman"/>
          <w:sz w:val="24"/>
          <w:szCs w:val="24"/>
        </w:rPr>
        <w:t xml:space="preserve">Den største komponent i japansk økonomi er altså den, der driver mindst vækst. Dertil kommer, at det offentlige forbrug er gået fra en realvækst på 3,5 pct. i 2021, hvor der blev ført ekspansiv finanspolitik under coronapandemien, til -0,3 pct. i 2024. Finanspolitikken er strammet i en periode, hvor den indenlandske efterspørgsel i forvejen var svag.</w:t>
      </w:r>
    </w:p>
    <w:p>
      <w:pPr>
        <w:spacing w:after="120" w:line="360"/>
        <w:jc w:val="both"/>
      </w:pPr>
      <w:r>
        <w:rPr>
          <w:rFonts w:ascii="Times New Roman" w:cs="Times New Roman" w:eastAsia="Times New Roman" w:hAnsi="Times New Roman"/>
          <w:sz w:val="24"/>
          <w:szCs w:val="24"/>
        </w:rPr>
        <w:t xml:space="preserve">Heraf følger en første kausalkæde: svag indenlandsk efterspørgsel betyder, at væksten må hentes i nettoeksport og investeringer, hvilket gør økonomien afhængig af udenlandsk efterspørgsel og valutakurs og dermed sårbar over for forhold, Japan ikke selv kontrollerer. Spørgsmålet er, hvorfor privatforbruget ikke vokser.</w:t>
      </w:r>
    </w:p>
    <w:p>
      <w:pPr>
        <w:pStyle w:val="Heading2"/>
        <w:spacing w:after="120" w:before="280" w:line="360"/>
      </w:pPr>
      <w:r>
        <w:rPr>
          <w:rFonts w:ascii="Times New Roman" w:cs="Times New Roman" w:eastAsia="Times New Roman" w:hAnsi="Times New Roman"/>
          <w:b/>
          <w:bCs/>
          <w:sz w:val="26"/>
          <w:szCs w:val="26"/>
        </w:rPr>
        <w:t xml:space="preserve">6.2  Fra deflation til importeret inflation</w:t>
      </w:r>
    </w:p>
    <w:p>
      <w:pPr>
        <w:spacing w:after="120" w:line="360"/>
        <w:jc w:val="both"/>
      </w:pPr>
      <w:r>
        <w:rPr>
          <w:rFonts w:ascii="Times New Roman" w:cs="Times New Roman" w:eastAsia="Times New Roman" w:hAnsi="Times New Roman"/>
          <w:sz w:val="24"/>
          <w:szCs w:val="24"/>
        </w:rPr>
        <w:t xml:space="preserve">Svaret findes i prisudviklingen. Japan har i årtier været præget af deflation eller meget lav inflation, og i 2021 faldt forbrugerpriserne fortsat med 0,2 pct.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I 2022 sker der et brud: forbrugerpriserne stiger 2,5 pct., mens kerneinflationen kun stiger 0,3 pct.</w:t>
      </w:r>
    </w:p>
    <w:p>
      <w:pPr>
        <w:spacing w:after="120" w:line="360"/>
        <w:jc w:val="both"/>
      </w:pPr>
      <w:r>
        <w:rPr>
          <w:rFonts w:ascii="Times New Roman" w:cs="Times New Roman" w:eastAsia="Times New Roman" w:hAnsi="Times New Roman"/>
          <w:sz w:val="24"/>
          <w:szCs w:val="24"/>
        </w:rPr>
        <w:t xml:space="preserve">Den forskel er analytisk afgørende. Kerneinflationen er inflationen renset for energi og fødevarer, altså for de varegrupper, hvis priser fastsættes på verdensmarkedet. Et gab på 2,2 pct.point mellem de to mål viser, at prisstigningerne ikke var skabt af japansk efterspørgsel, men importeret udefra. Der er tale om udbudsbestemt snarere end efterspørgselsbestemt inflation.</w:t>
      </w:r>
    </w:p>
    <w:p>
      <w:pPr>
        <w:spacing w:after="120" w:line="360"/>
        <w:jc w:val="both"/>
      </w:pPr>
      <w:r>
        <w:rPr>
          <w:rFonts w:ascii="Times New Roman" w:cs="Times New Roman" w:eastAsia="Times New Roman" w:hAnsi="Times New Roman"/>
          <w:sz w:val="24"/>
          <w:szCs w:val="24"/>
        </w:rPr>
        <w:t xml:space="preserve">To forhold forklarer dette. Dels steg de globale energi- og fødevarepriser kraftigt i 2022. Dels — og mere varigt — svækkedes yennen fra ca. 110 yen pr. dollar i 2021 til ca. 151 yen pr. dollar i 2024, svarende til omkring 27 pct.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Da import afregnes i fremmed valuta, medfører en svækket yen mekanisk stigende importpriser målt i yen, uanset verdensmarkedsprisen.</w:t>
      </w:r>
    </w:p>
    <w:p>
      <w:pPr>
        <w:spacing w:after="120" w:line="360"/>
        <w:jc w:val="both"/>
      </w:pPr>
      <w:r>
        <w:rPr>
          <w:rFonts w:ascii="Times New Roman" w:cs="Times New Roman" w:eastAsia="Times New Roman" w:hAnsi="Times New Roman"/>
          <w:sz w:val="24"/>
          <w:szCs w:val="24"/>
        </w:rPr>
        <w:t xml:space="preserve">I 2023 lukkes gabet: forbrugerpriserne stiger 3,2 pct., og kerneinflationen følger med op på 2,7 pct. De importerede prisstigninger er væltet gennem økonomien som andenrundeeffekter, hvor virksomhederne sender højere omkostninger videre til forbrugerne.</w:t>
      </w:r>
    </w:p>
    <w:p>
      <w:pPr>
        <w:pBdr>
          <w:top w:val="dashed" w:color="BFBFBF" w:sz="4" w:space="8"/>
          <w:bottom w:val="dashed" w:color="BFBFBF" w:sz="4" w:space="8"/>
        </w:pBdr>
        <w:spacing w:after="200" w:before="200" w:line="240"/>
        <w:jc w:val="center"/>
      </w:pPr>
      <w:r>
        <w:rPr>
          <w:rFonts w:ascii="Times New Roman" w:cs="Times New Roman" w:eastAsia="Times New Roman" w:hAnsi="Times New Roman"/>
          <w:i/>
          <w:iCs/>
          <w:color w:val="808080"/>
          <w:sz w:val="20"/>
          <w:szCs w:val="20"/>
        </w:rPr>
        <w:t xml:space="preserve">[Figur 2: Forbrugerpriser og kerneinflation, 2021-2025. Enhed: pct. Kilde: ...]</w:t>
      </w:r>
    </w:p>
    <w:p>
      <w:pPr>
        <w:pStyle w:val="Heading2"/>
        <w:spacing w:after="120" w:before="280" w:line="360"/>
      </w:pPr>
      <w:r>
        <w:rPr>
          <w:rFonts w:ascii="Times New Roman" w:cs="Times New Roman" w:eastAsia="Times New Roman" w:hAnsi="Times New Roman"/>
          <w:b/>
          <w:bCs/>
          <w:sz w:val="26"/>
          <w:szCs w:val="26"/>
        </w:rPr>
        <w:t xml:space="preserve">6.3  Reallønsfaldet og den opbrugte opsparing</w:t>
      </w:r>
    </w:p>
    <w:p>
      <w:pPr>
        <w:spacing w:after="120" w:line="360"/>
        <w:jc w:val="both"/>
      </w:pPr>
      <w:r>
        <w:rPr>
          <w:rFonts w:ascii="Times New Roman" w:cs="Times New Roman" w:eastAsia="Times New Roman" w:hAnsi="Times New Roman"/>
          <w:sz w:val="24"/>
          <w:szCs w:val="24"/>
        </w:rPr>
        <w:t xml:space="preserve">Konsekvensen for husholdningerne aflæses i opsparingskvoten, som er faldet fra 7,7 pct. af den disponible indkomst i 2021 til 3,3 pct. i 2023 og videre til 1,8 pct. i 2025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 næsten seks pct.point på fire år.</w:t>
      </w:r>
    </w:p>
    <w:p>
      <w:pPr>
        <w:spacing w:after="120" w:line="360"/>
        <w:jc w:val="both"/>
      </w:pPr>
      <w:r>
        <w:rPr>
          <w:rFonts w:ascii="Times New Roman" w:cs="Times New Roman" w:eastAsia="Times New Roman" w:hAnsi="Times New Roman"/>
          <w:sz w:val="24"/>
          <w:szCs w:val="24"/>
        </w:rPr>
        <w:t xml:space="preserve">Sammenholdes dette med, at privatforbruget kun voksede 0,7 pct. realt årligt, mens forbrugerpriserne steg 2,0-3,2 pct., kan udviklingen i den disponible indkomst udledes. Ud fra sammenhængen mellem forbrug, indkomst og opsparingskvote svarer tallene for 2023 til en nominel indkomstfremgang på blot ca. 1,7 pct. Med en inflation på 3,2 pct. indebærer det et realt fald i den disponible indkomst på ca. 1,5 pct., og en tilsvarende beregning giver ca. 0,9 pct. for 2025. Beregningen er et overslag, da forbrugerprisindekset her anvendes som deflator, men størrelsesordenen understøttes af, at reallønnen i Japan er faldet kumuleret gennem perioden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Anden kausalkæde bliver dermed: svækket yen og stigende energipriser giver importeret inflation, prisstigningerne overstiger lønstigningerne, reallønnen falder, husholdningerne opretholder forbruget ved at reducere opsparingen frem for at skære ned, og opsparingskvoten falder markant, mens forbrugsvæksten alligevel forbliver beskeden.</w:t>
      </w:r>
    </w:p>
    <w:p>
      <w:pPr>
        <w:spacing w:after="120" w:line="360"/>
        <w:jc w:val="both"/>
      </w:pPr>
      <w:r>
        <w:rPr>
          <w:rFonts w:ascii="Times New Roman" w:cs="Times New Roman" w:eastAsia="Times New Roman" w:hAnsi="Times New Roman"/>
          <w:sz w:val="24"/>
          <w:szCs w:val="24"/>
        </w:rPr>
        <w:t xml:space="preserve">Det væsentlige er, at kæden ikke kan fortsætte. En opsparingskvote på 1,8 pct. efterlader stort set ingen buffer. Den stødpude, der siden 2021 har holdt privatforbruget oppe, er reelt opbrugt, og falder reallønnen igen, vil det slå direkte igennem på forbruget — og dermed på det vækstbidrag, der i forvejen kun er på 0,4 pct.point.</w:t>
      </w:r>
    </w:p>
    <w:p>
      <w:pPr>
        <w:pStyle w:val="Heading2"/>
        <w:spacing w:after="120" w:before="280" w:line="360"/>
      </w:pPr>
      <w:r>
        <w:rPr>
          <w:rFonts w:ascii="Times New Roman" w:cs="Times New Roman" w:eastAsia="Times New Roman" w:hAnsi="Times New Roman"/>
          <w:b/>
          <w:bCs/>
          <w:sz w:val="26"/>
          <w:szCs w:val="26"/>
        </w:rPr>
        <w:t xml:space="preserve">6.4  Et stramt arbejdsmarked uden lønpres</w:t>
      </w:r>
    </w:p>
    <w:p>
      <w:pPr>
        <w:spacing w:after="120" w:line="360"/>
        <w:jc w:val="both"/>
      </w:pPr>
      <w:r>
        <w:rPr>
          <w:rFonts w:ascii="Times New Roman" w:cs="Times New Roman" w:eastAsia="Times New Roman" w:hAnsi="Times New Roman"/>
          <w:sz w:val="24"/>
          <w:szCs w:val="24"/>
        </w:rPr>
        <w:t xml:space="preserve">Hertil kommer et forhold, der ved første øjekast virker selvmodsigende. Ledigheden er faldet fra 2,8 pct. af arbejdsstyrken i 2021 til 2,4 pct. i 2025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Da fuld beskæftigelse normalt antages at indtræde ved 3-4 pct., ligger Japan under det niveau, hvor arbejdsmarkedet betragtes som stramt.</w:t>
      </w:r>
    </w:p>
    <w:p>
      <w:pPr>
        <w:spacing w:after="120" w:line="360"/>
        <w:jc w:val="both"/>
      </w:pPr>
      <w:r>
        <w:rPr>
          <w:rFonts w:ascii="Times New Roman" w:cs="Times New Roman" w:eastAsia="Times New Roman" w:hAnsi="Times New Roman"/>
          <w:sz w:val="24"/>
          <w:szCs w:val="24"/>
        </w:rPr>
        <w:t xml:space="preserve">Efter makroøkonomisk teori burde det udløse lønpres: mangler virksomhederne arbejdskraft, byder de lønnen op, hvilket øger indkomsterne og dermed forbruget. Det er den sammenhæng, Phillipskurven beskriver. I Japan sker det ikke i tilstrækkeligt omfang — reallønnen falder, og forbruget stagnerer.</w:t>
      </w:r>
    </w:p>
    <w:p>
      <w:pPr>
        <w:spacing w:after="120" w:line="360"/>
        <w:jc w:val="both"/>
      </w:pPr>
      <w:r>
        <w:rPr>
          <w:rFonts w:ascii="Times New Roman" w:cs="Times New Roman" w:eastAsia="Times New Roman" w:hAnsi="Times New Roman"/>
          <w:sz w:val="24"/>
          <w:szCs w:val="24"/>
        </w:rPr>
        <w:t xml:space="preserve">Forklaringen må derfor søges i strukturelle snarere end konjunkturelle forhold. For det første er arbejdsstyrken faldende som følge af lav fertilitet og en aldrende befolkning. Når både udbud af og efterspørgsel efter arbejdskraft falder, kan ledigheden holde sig lav, uden at der opstår egentlig knaphed. Den lave ledighed udtrykker dermed i lige så høj grad befolkningstilbagegang som et stærkt arbejdsmarked. For det andet er løndannelsen præget af livstidsansættelse og senioritetsbaseret aflønning i de store virksomheder kombineret med en stor gruppe ikke-fastansatte, hvilket gør lønnen mindre følsom over for efterspørgslen efter arbejdskraft. For det tredje har tre årtier med deflation forankret lave inflationsforventninger, som dæmper lønkravene.</w:t>
      </w:r>
    </w:p>
    <w:p>
      <w:pPr>
        <w:spacing w:after="120" w:line="360"/>
        <w:jc w:val="both"/>
      </w:pPr>
      <w:r>
        <w:rPr>
          <w:rFonts w:ascii="Times New Roman" w:cs="Times New Roman" w:eastAsia="Times New Roman" w:hAnsi="Times New Roman"/>
          <w:sz w:val="24"/>
          <w:szCs w:val="24"/>
        </w:rPr>
        <w:t xml:space="preserve">De årlige shunto-forhandlinger gav i 2024 og 2025 lønstigninger omkring 5 pct.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hvilket umiddelbart taler imod. Aftalerne dækker dog alene fagligt organiserede i primært større virksomheder og er derfor ikke repræsentative for det samlede arbejdsmarked.</w:t>
      </w:r>
    </w:p>
    <w:p>
      <w:pPr>
        <w:pStyle w:val="Heading2"/>
        <w:spacing w:after="120" w:before="280" w:line="360"/>
      </w:pPr>
      <w:r>
        <w:rPr>
          <w:rFonts w:ascii="Times New Roman" w:cs="Times New Roman" w:eastAsia="Times New Roman" w:hAnsi="Times New Roman"/>
          <w:b/>
          <w:bCs/>
          <w:sz w:val="26"/>
          <w:szCs w:val="26"/>
        </w:rPr>
        <w:t xml:space="preserve">6.5  Statsgæld på 244 pct. af BNP i en verden med stigende renter</w:t>
      </w:r>
    </w:p>
    <w:p>
      <w:pPr>
        <w:spacing w:after="120" w:line="360"/>
        <w:jc w:val="both"/>
      </w:pPr>
      <w:r>
        <w:rPr>
          <w:rFonts w:ascii="Times New Roman" w:cs="Times New Roman" w:eastAsia="Times New Roman" w:hAnsi="Times New Roman"/>
          <w:sz w:val="24"/>
          <w:szCs w:val="24"/>
        </w:rPr>
        <w:t xml:space="preserve">Den mest markante usikkerhed vedrører de offentlige finanser. Japans offentlige gæld udgør ca. 244 pct. af BNP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altså fire gange den tommelfingerregel på 60 pct., der normalt anvendes. Samtidig er den offentlige saldo dog forbedret støt fra et underskud på 6,2 pct. af BNP i 2021 til 3,3 pct. i 2025.</w:t>
      </w:r>
    </w:p>
    <w:p>
      <w:pPr>
        <w:spacing w:after="120" w:line="360"/>
        <w:jc w:val="both"/>
      </w:pPr>
      <w:r>
        <w:rPr>
          <w:rFonts w:ascii="Times New Roman" w:cs="Times New Roman" w:eastAsia="Times New Roman" w:hAnsi="Times New Roman"/>
          <w:sz w:val="24"/>
          <w:szCs w:val="24"/>
        </w:rPr>
        <w:t xml:space="preserve">Alligevel falder gældskvoten stort set ikke, og forklaringen ligger i gældsdynamikken. Gældskvoten er et forhold mellem gæld og BNP i løbende priser og påvirkes derfor af den nominelle BNP-vækst, altså summen af realvæksten og BNP-deflatoren. I 2022, hvor den nominelle vækst kun var 1,2 pct., steg gældskvoten med 5,6 pct.point. Fra 2023, hvor deflatoren stiger til 3,5 pct. og den nominelle vækst dermed når 5,2 pct., stabiliseres kvoten. Så længe den nominelle vækst overstiger den gennemsnitlige rente på gælden, reducerer væksten gældskvoten hurtigere, end underskuddet opbygger den. Det er altså i vidt omfang inflationen, der har holdt den japanske statsgæld i skak.</w:t>
      </w:r>
    </w:p>
    <w:p>
      <w:pPr>
        <w:pBdr>
          <w:top w:val="dashed" w:color="BFBFBF" w:sz="4" w:space="8"/>
          <w:bottom w:val="dashed" w:color="BFBFBF" w:sz="4" w:space="8"/>
        </w:pBdr>
        <w:spacing w:after="200" w:before="200" w:line="240"/>
        <w:jc w:val="center"/>
      </w:pPr>
      <w:r>
        <w:rPr>
          <w:rFonts w:ascii="Times New Roman" w:cs="Times New Roman" w:eastAsia="Times New Roman" w:hAnsi="Times New Roman"/>
          <w:i/>
          <w:iCs/>
          <w:color w:val="808080"/>
          <w:sz w:val="20"/>
          <w:szCs w:val="20"/>
        </w:rPr>
        <w:t xml:space="preserve">[Figur 3: Nominel BNP-vækst og offentlig gæld i pct. af BNP, 2021-2025. Kilde: ...]</w:t>
      </w:r>
    </w:p>
    <w:p>
      <w:pPr>
        <w:spacing w:after="120" w:line="360"/>
        <w:jc w:val="both"/>
      </w:pPr>
      <w:r>
        <w:rPr>
          <w:rFonts w:ascii="Times New Roman" w:cs="Times New Roman" w:eastAsia="Times New Roman" w:hAnsi="Times New Roman"/>
          <w:sz w:val="24"/>
          <w:szCs w:val="24"/>
        </w:rPr>
        <w:t xml:space="preserve">Netop derfor er situationen skrøbelig. Bank of Japan har påbegyndt en normalisering af pengepolitikken og hævet styringsrenten fra -0,1 pct. til et positivt niveau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Med en gæld på 244 pct. af BNP vil en stigning i den gennemsnitlige rente på ét pct.point på sigt medføre ekstra renteudgifter svarende til ca. 2,4 pct. af BNP, når gælden er refinansieret. Til sammenligning udgør hele budgetforbedringen fra 2021 til 2025 kun 2,9 pct.point. Én pct.points rentestigning kan altså udligne fem års finanspolitisk konsolidering.</w:t>
      </w:r>
    </w:p>
    <w:p>
      <w:pPr>
        <w:spacing w:after="120" w:line="360"/>
        <w:jc w:val="both"/>
      </w:pPr>
      <w:r>
        <w:rPr>
          <w:rFonts w:ascii="Times New Roman" w:cs="Times New Roman" w:eastAsia="Times New Roman" w:hAnsi="Times New Roman"/>
          <w:sz w:val="24"/>
          <w:szCs w:val="24"/>
        </w:rPr>
        <w:t xml:space="preserve">Herved opstår et økonomisk-politisk dilemma. En højere rente vil styrke yennen og dermed svække priskonkurrenceevnen, hvilket rammer nettoeksporten — en af de to komponenter, der stadig leverer vækst. En fortsat lav rente vil derimod holde yennen svag og fastholde den importerede inflation, der presser reallønnen og svækker privatforbruget. Begge veje ud har betydelige omkostninger.</w:t>
      </w:r>
    </w:p>
    <w:p>
      <w:pPr>
        <w:spacing w:after="120" w:line="360"/>
        <w:jc w:val="both"/>
      </w:pPr>
      <w:r>
        <w:rPr>
          <w:rFonts w:ascii="Times New Roman" w:cs="Times New Roman" w:eastAsia="Times New Roman" w:hAnsi="Times New Roman"/>
          <w:sz w:val="24"/>
          <w:szCs w:val="24"/>
        </w:rPr>
        <w:t xml:space="preserve">Det bør dog nuanceres, at bruttogælden overdriver problemets omfang: den japanske stat besidder selv betydelige finansielle aktiver, og Bank of Japan ejer en stor del af statsobligationerne, hvorfor nettogælden er væsentligt lavere </w:t>
      </w:r>
      <w:r>
        <w:rPr>
          <w:rFonts w:ascii="Times New Roman" w:cs="Times New Roman" w:eastAsia="Times New Roman" w:hAnsi="Times New Roman"/>
          <w:b/>
          <w:bCs/>
          <w:color w:val="C00000"/>
          <w:sz w:val="24"/>
          <w:szCs w:val="24"/>
        </w:rPr>
        <w:t xml:space="preserve">[KILDE]</w:t>
      </w:r>
      <w:r>
        <w:rPr>
          <w:rFonts w:ascii="Times New Roman" w:cs="Times New Roman" w:eastAsia="Times New Roman" w:hAnsi="Times New Roman"/>
          <w:sz w:val="24"/>
          <w:szCs w:val="24"/>
        </w:rPr>
        <w:t xml:space="preserve">. Det ændrer ikke rentefølsomheden, men gør billedet mindre dramatisk end bruttotallet antyder.</w:t>
      </w:r>
    </w:p>
    <w:p>
      <w:pPr>
        <w:pStyle w:val="Heading2"/>
        <w:spacing w:after="120" w:before="280" w:line="360"/>
      </w:pPr>
      <w:r>
        <w:rPr>
          <w:rFonts w:ascii="Times New Roman" w:cs="Times New Roman" w:eastAsia="Times New Roman" w:hAnsi="Times New Roman"/>
          <w:b/>
          <w:bCs/>
          <w:sz w:val="26"/>
          <w:szCs w:val="26"/>
        </w:rPr>
        <w:t xml:space="preserve">6.6  Delkonklusion</w:t>
      </w:r>
    </w:p>
    <w:p>
      <w:pPr>
        <w:spacing w:after="120" w:line="360"/>
        <w:jc w:val="both"/>
      </w:pPr>
      <w:r>
        <w:rPr>
          <w:rFonts w:ascii="Times New Roman" w:cs="Times New Roman" w:eastAsia="Times New Roman" w:hAnsi="Times New Roman"/>
          <w:sz w:val="24"/>
          <w:szCs w:val="24"/>
        </w:rPr>
        <w:t xml:space="preserve">Ved første øjekast fremstår Japans økonomi sund: vækst inden for det normale interval, inflation omkring målsætningen på 2 pct., meget lav ledighed og et stabilt overskud på betalingsbalancens løbende poster på ca. 4 pct. af BNP. Undersøges sammenhængene mellem nøgletallene, fremkommer imidlertid fire væsentlige økonomiske usikkerheder.</w:t>
      </w:r>
    </w:p>
    <w:p>
      <w:pPr>
        <w:spacing w:after="120" w:line="360"/>
        <w:jc w:val="both"/>
      </w:pPr>
      <w:r>
        <w:rPr>
          <w:rFonts w:ascii="Times New Roman" w:cs="Times New Roman" w:eastAsia="Times New Roman" w:hAnsi="Times New Roman"/>
          <w:sz w:val="24"/>
          <w:szCs w:val="24"/>
        </w:rPr>
        <w:t xml:space="preserve">For det første er væksten reelt udliciteret til udlandet, idet privatforbruget trods sin størrelse kun leverer et marginalt vækstbidrag. For det andet har den importerede inflation medført et reallønsfald, som husholdningerne har kompenseret for ved at sænke opsparingskvoten fra 7,7 til 1,8 pct. — en stødpude, der nu er opbrugt. For det tredje skyldes den lave ledighed i lige så høj grad demografisk tilbagegang som et stærkt arbejdsmarked, hvilket forklarer det manglende lønpres. For det fjerde hviler gældens stabilitet på en fortsat lav rente, hvilket gør den pengepolitiske normalisering til en direkte finanspolitisk risiko.</w:t>
      </w:r>
    </w:p>
    <w:p>
      <w:pPr>
        <w:spacing w:after="120" w:line="360"/>
        <w:jc w:val="both"/>
      </w:pPr>
      <w:r>
        <w:rPr>
          <w:rFonts w:ascii="Times New Roman" w:cs="Times New Roman" w:eastAsia="Times New Roman" w:hAnsi="Times New Roman"/>
          <w:sz w:val="24"/>
          <w:szCs w:val="24"/>
        </w:rPr>
        <w:t xml:space="preserve">Samlet peger analysen på, at yensvækkelsen har forbedret Japans priskonkurrenceevne over for udlandet, men at gevinsten ikke er kommet japanske husholdninger til gode. Tværtimod er den forbedrede konkurrenceevne opnået på bekostning af købekraften i den indenlandske økonomi.</w:t>
      </w:r>
    </w:p>
    <w:sectPr>
      <w:footerReference w:type="default" r:id="rId7"/>
      <w:pgSz w:w="11906" w:h="16838" w:orient="portrait"/>
      <w:pgMar w:top="1700" w:right="1417" w:bottom="170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pPr>
    <w:r>
      <w:rPr>
        <w:rFonts w:ascii="Times New Roman" w:cs="Times New Roman" w:eastAsia="Times New Roman" w:hAnsi="Times New Roman"/>
        <w:color w:val="595959"/>
        <w:sz w:val="18"/>
        <w:szCs w:val="18"/>
      </w:rPr>
      <w:t xml:space="preserve">[Dit navn] · [Skolens navn]</w:t>
    </w:r>
    <w:r>
      <w:rPr>
        <w:rFonts w:ascii="Times New Roman" w:cs="Times New Roman" w:eastAsia="Times New Roman" w:hAnsi="Times New Roman"/>
        <w:sz w:val="18"/>
        <w:szCs w:val="18"/>
      </w:rPr>
      <w:ptab w:alignment="right" w:relativeTo="margin" w:leader="none"/>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2026-09-05T14:35:44.010Z</dcterms:created>
  <dcterms:modified xsi:type="dcterms:W3CDTF">2026-09-05T14:35:44.010Z</dcterms:modified>
</cp:coreProperties>
</file>

<file path=docProps/custom.xml><?xml version="1.0" encoding="utf-8"?>
<Properties xmlns="http://schemas.openxmlformats.org/officeDocument/2006/custom-properties" xmlns:vt="http://schemas.openxmlformats.org/officeDocument/2006/docPropsVTypes"/>
</file>