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59"/>
      </w:pPr>
      <w:r>
        <w:rPr>
          <w:rFonts w:ascii="Aptos" w:cs="Aptos" w:eastAsia="Aptos" w:hAnsi="Aptos"/>
          <w:b/>
          <w:bCs/>
          <w:sz w:val="36"/>
          <w:szCs w:val="36"/>
        </w:rPr>
        <w:t xml:space="preserve">Redegørelse for Japans økonomi</w:t>
      </w:r>
    </w:p>
    <w:p>
      <w:pPr>
        <w:spacing w:after="140" w:before="280" w:line="259"/>
      </w:pPr>
      <w:r>
        <w:rPr>
          <w:rFonts w:ascii="Aptos" w:cs="Aptos" w:eastAsia="Aptos" w:hAnsi="Aptos"/>
          <w:b/>
          <w:bCs/>
          <w:sz w:val="22"/>
          <w:szCs w:val="22"/>
        </w:rPr>
        <w:t xml:space="preserve">Japans økonomi i dag</w:t>
      </w:r>
    </w:p>
    <w:p>
      <w:pPr>
        <w:spacing w:after="180" w:line="259"/>
      </w:pPr>
      <w:r>
        <w:rPr>
          <w:rFonts w:ascii="Aptos" w:cs="Aptos" w:eastAsia="Aptos" w:hAnsi="Aptos"/>
          <w:sz w:val="22"/>
          <w:szCs w:val="22"/>
        </w:rPr>
        <w:t xml:space="preserve">Japan er en af verdens største økonomier. I 2020 var Japans BNP på 5.051 mia. USD i løbende priser </w:t>
      </w:r>
      <w:r>
        <w:rPr>
          <w:rFonts w:ascii="Aptos" w:cs="Aptos" w:eastAsia="Aptos" w:hAnsi="Aptos"/>
          <w:b/>
          <w:bCs/>
          <w:color w:val="C00000"/>
          <w:sz w:val="22"/>
          <w:szCs w:val="22"/>
        </w:rPr>
        <w:t xml:space="preserve">[KILDE]</w:t>
      </w:r>
      <w:r>
        <w:rPr>
          <w:rFonts w:ascii="Aptos" w:cs="Aptos" w:eastAsia="Aptos" w:hAnsi="Aptos"/>
          <w:sz w:val="22"/>
          <w:szCs w:val="22"/>
        </w:rPr>
        <w:t xml:space="preserve">. Økonomien er kendetegnet ved lav vækst, meget lav arbejdsløshed og en inflation, der først inden for de seneste år er kommet op omkring de 2 %, som centralbanker typisk har som målsætning.</w:t>
      </w:r>
    </w:p>
    <w:p>
      <w:pPr>
        <w:spacing w:after="180" w:line="259"/>
      </w:pPr>
      <w:r>
        <w:rPr>
          <w:rFonts w:ascii="Aptos" w:cs="Aptos" w:eastAsia="Aptos" w:hAnsi="Aptos"/>
          <w:sz w:val="22"/>
          <w:szCs w:val="22"/>
        </w:rPr>
        <w:t xml:space="preserve">I 2025 var arbejdsløsheden på 2,4 % af arbejdsstyrken, inflationen på 2,0 % og overskuddet på betalingsbalancens løbende poster på 4,0 % af BNP </w:t>
      </w:r>
      <w:r>
        <w:rPr>
          <w:rFonts w:ascii="Aptos" w:cs="Aptos" w:eastAsia="Aptos" w:hAnsi="Aptos"/>
          <w:b/>
          <w:bCs/>
          <w:color w:val="C00000"/>
          <w:sz w:val="22"/>
          <w:szCs w:val="22"/>
        </w:rPr>
        <w:t xml:space="preserve">[KILDE]</w:t>
      </w:r>
      <w:r>
        <w:rPr>
          <w:rFonts w:ascii="Aptos" w:cs="Aptos" w:eastAsia="Aptos" w:hAnsi="Aptos"/>
          <w:sz w:val="22"/>
          <w:szCs w:val="22"/>
        </w:rPr>
        <w:t xml:space="preserve">. Kigger man på nøgletallene hvert for sig, ser økonomien altså umiddelbart sund ud. Det eneste tal, der skiller sig markant ud, er den offentlige gæld.</w:t>
      </w:r>
    </w:p>
    <w:p>
      <w:pPr>
        <w:spacing w:after="140" w:before="280" w:line="259"/>
      </w:pPr>
      <w:r>
        <w:rPr>
          <w:rFonts w:ascii="Aptos" w:cs="Aptos" w:eastAsia="Aptos" w:hAnsi="Aptos"/>
          <w:b/>
          <w:bCs/>
          <w:sz w:val="22"/>
          <w:szCs w:val="22"/>
        </w:rPr>
        <w:t xml:space="preserve">Japans offentlige gæld</w:t>
      </w:r>
    </w:p>
    <w:p>
      <w:pPr>
        <w:spacing w:after="180" w:line="259"/>
      </w:pPr>
      <w:r>
        <w:rPr>
          <w:rFonts w:ascii="Aptos" w:cs="Aptos" w:eastAsia="Aptos" w:hAnsi="Aptos"/>
          <w:sz w:val="22"/>
          <w:szCs w:val="22"/>
        </w:rPr>
        <w:t xml:space="preserve">Japans offentlige gæld er på ca. 244 % af BNP </w:t>
      </w:r>
      <w:r>
        <w:rPr>
          <w:rFonts w:ascii="Aptos" w:cs="Aptos" w:eastAsia="Aptos" w:hAnsi="Aptos"/>
          <w:b/>
          <w:bCs/>
          <w:color w:val="C00000"/>
          <w:sz w:val="22"/>
          <w:szCs w:val="22"/>
        </w:rPr>
        <w:t xml:space="preserve">[KILDE]</w:t>
      </w:r>
      <w:r>
        <w:rPr>
          <w:rFonts w:ascii="Aptos" w:cs="Aptos" w:eastAsia="Aptos" w:hAnsi="Aptos"/>
          <w:sz w:val="22"/>
          <w:szCs w:val="22"/>
        </w:rPr>
        <w:t xml:space="preserve">. Det er meget højt. Tommelfingerreglen er, at et lands offentlige gæld højst bør ligge omkring 60 % af BNP, og det er også den grænse, EU bruger i sine finanspolitiske regler </w:t>
      </w:r>
      <w:r>
        <w:rPr>
          <w:rFonts w:ascii="Aptos" w:cs="Aptos" w:eastAsia="Aptos" w:hAnsi="Aptos"/>
          <w:b/>
          <w:bCs/>
          <w:color w:val="C00000"/>
          <w:sz w:val="22"/>
          <w:szCs w:val="22"/>
        </w:rPr>
        <w:t xml:space="preserve">[KILDE]</w:t>
      </w:r>
      <w:r>
        <w:rPr>
          <w:rFonts w:ascii="Aptos" w:cs="Aptos" w:eastAsia="Aptos" w:hAnsi="Aptos"/>
          <w:sz w:val="22"/>
          <w:szCs w:val="22"/>
        </w:rPr>
        <w:t xml:space="preserve">. Japan ligger altså fire gange over.</w:t>
      </w:r>
    </w:p>
    <w:p>
      <w:pPr>
        <w:spacing w:after="180" w:line="259"/>
      </w:pPr>
      <w:r>
        <w:rPr>
          <w:rFonts w:ascii="Aptos" w:cs="Aptos" w:eastAsia="Aptos" w:hAnsi="Aptos"/>
          <w:sz w:val="22"/>
          <w:szCs w:val="22"/>
        </w:rPr>
        <w:t xml:space="preserve">Japan har desuden underskud på de offentlige finanser hvert år, men underskuddet er blevet mindre. Det er faldet fra 6,2 % af BNP i 2021 til 3,3 % i 2025 </w:t>
      </w:r>
      <w:r>
        <w:rPr>
          <w:rFonts w:ascii="Aptos" w:cs="Aptos" w:eastAsia="Aptos" w:hAnsi="Aptos"/>
          <w:b/>
          <w:bCs/>
          <w:color w:val="C00000"/>
          <w:sz w:val="22"/>
          <w:szCs w:val="22"/>
        </w:rPr>
        <w:t xml:space="preserve">[KILDE]</w:t>
      </w:r>
      <w:r>
        <w:rPr>
          <w:rFonts w:ascii="Aptos" w:cs="Aptos" w:eastAsia="Aptos" w:hAnsi="Aptos"/>
          <w:sz w:val="22"/>
          <w:szCs w:val="22"/>
        </w:rPr>
        <w:t xml:space="preserve">. Selv om der stadig er underskud, er gælden målt i forhold til BNP nogenlunde uændret gennem hele perioden.</w:t>
      </w:r>
    </w:p>
    <w:p>
      <w:pPr>
        <w:spacing w:after="180" w:line="259"/>
      </w:pPr>
      <w:r>
        <w:rPr>
          <w:rFonts w:ascii="Aptos" w:cs="Aptos" w:eastAsia="Aptos" w:hAnsi="Aptos"/>
          <w:sz w:val="22"/>
          <w:szCs w:val="22"/>
        </w:rPr>
        <w:t xml:space="preserve">Det skal nævnes, at de 244 % er bruttogælden. Den japanske stat ejer selv store finansielle aktiver, og Bank of Japan ejer en stor del af de japanske statsobligationer. Nettogælden er derfor væsentligt lavere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40" w:before="280" w:line="259"/>
      </w:pPr>
      <w:r>
        <w:rPr>
          <w:rFonts w:ascii="Aptos" w:cs="Aptos" w:eastAsia="Aptos" w:hAnsi="Aptos"/>
          <w:b/>
          <w:bCs/>
          <w:sz w:val="22"/>
          <w:szCs w:val="22"/>
        </w:rPr>
        <w:t xml:space="preserve">Handelsbalance og betalingsbalance</w:t>
      </w:r>
    </w:p>
    <w:p>
      <w:pPr>
        <w:spacing w:after="180" w:line="259"/>
      </w:pPr>
      <w:r>
        <w:rPr>
          <w:rFonts w:ascii="Aptos" w:cs="Aptos" w:eastAsia="Aptos" w:hAnsi="Aptos"/>
          <w:sz w:val="22"/>
          <w:szCs w:val="22"/>
        </w:rPr>
        <w:t xml:space="preserve">Her er det vigtigt at skelne mellem to begreber. Handelsbalancen viser kun værdien af de varer og tjenester, der går ind og ud af landet. Betalingsbalancens løbende poster er bredere og indeholder også blandt andet renter og udbytter fra japanske investeringer i udlandet </w:t>
      </w:r>
      <w:r>
        <w:rPr>
          <w:rFonts w:ascii="Aptos" w:cs="Aptos" w:eastAsia="Aptos" w:hAnsi="Aptos"/>
          <w:b/>
          <w:bCs/>
          <w:color w:val="C00000"/>
          <w:sz w:val="22"/>
          <w:szCs w:val="22"/>
        </w:rPr>
        <w:t xml:space="preserve">[KILDE]</w:t>
      </w:r>
      <w:r>
        <w:rPr>
          <w:rFonts w:ascii="Aptos" w:cs="Aptos" w:eastAsia="Aptos" w:hAnsi="Aptos"/>
          <w:sz w:val="22"/>
          <w:szCs w:val="22"/>
        </w:rPr>
        <w:t xml:space="preserve">. For Japan er den forskel vigtig, fordi landet har meget store formuer placeret i udlandet, som giver indtægter hjem hvert år.</w:t>
      </w:r>
    </w:p>
    <w:p>
      <w:pPr>
        <w:spacing w:after="180" w:line="259"/>
      </w:pPr>
      <w:r>
        <w:rPr>
          <w:rFonts w:ascii="Aptos" w:cs="Aptos" w:eastAsia="Aptos" w:hAnsi="Aptos"/>
          <w:sz w:val="22"/>
          <w:szCs w:val="22"/>
        </w:rPr>
        <w:t xml:space="preserve">Japan har overskud på betalingsbalancens løbende poster. Overskuddet var 3,9 % af BNP i 2021, faldt til 1,8 % i 2022 og er siden steget igen til 4,0 % i 2025 </w:t>
      </w:r>
      <w:r>
        <w:rPr>
          <w:rFonts w:ascii="Aptos" w:cs="Aptos" w:eastAsia="Aptos" w:hAnsi="Aptos"/>
          <w:b/>
          <w:bCs/>
          <w:color w:val="C00000"/>
          <w:sz w:val="22"/>
          <w:szCs w:val="22"/>
        </w:rPr>
        <w:t xml:space="preserve">[KILDE]</w:t>
      </w:r>
      <w:r>
        <w:rPr>
          <w:rFonts w:ascii="Aptos" w:cs="Aptos" w:eastAsia="Aptos" w:hAnsi="Aptos"/>
          <w:sz w:val="22"/>
          <w:szCs w:val="22"/>
        </w:rPr>
        <w:t xml:space="preserve">. Faldet i 2022 hænger sammen med, at importen det år voksede 8,0 %, mens eksporten kun voksede 5,1 %. I de følgende år voksede eksporten mere end importen igen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40" w:before="280" w:line="259"/>
      </w:pPr>
      <w:r>
        <w:rPr>
          <w:rFonts w:ascii="Aptos" w:cs="Aptos" w:eastAsia="Aptos" w:hAnsi="Aptos"/>
          <w:b/>
          <w:bCs/>
          <w:sz w:val="22"/>
          <w:szCs w:val="22"/>
        </w:rPr>
        <w:t xml:space="preserve">Udviklingen i væksten</w:t>
      </w:r>
    </w:p>
    <w:p>
      <w:pPr>
        <w:spacing w:after="180" w:line="259"/>
      </w:pPr>
      <w:r>
        <w:rPr>
          <w:rFonts w:ascii="Aptos" w:cs="Aptos" w:eastAsia="Aptos" w:hAnsi="Aptos"/>
          <w:sz w:val="22"/>
          <w:szCs w:val="22"/>
        </w:rPr>
        <w:t xml:space="preserve">Japans BNP voksede 2,2 % i 2021, hvilket var en genopretning efter coronapandemien. Derefter faldt væksten til 0,9 % i 2022, steg til 1,7 % i 2023 og har siden ligget omkring 1,0-1,2 %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spacing w:after="180" w:line="259"/>
      </w:pPr>
      <w:r>
        <w:rPr>
          <w:rFonts w:ascii="Aptos" w:cs="Aptos" w:eastAsia="Aptos" w:hAnsi="Aptos"/>
          <w:sz w:val="22"/>
          <w:szCs w:val="22"/>
        </w:rPr>
        <w:t xml:space="preserve">Væksten er altså svækket siden 2021 og har lagt sig på et lavt, men nogenlunde stabilt niveau. Den ligger i den nedre ende af det interval på 1-2 %, man normalt kalder stabil vækst, og tæt på grænsen ved 1 %, hvor man begynder at tale om lavkonjunktur </w:t>
      </w:r>
      <w:r>
        <w:rPr>
          <w:rFonts w:ascii="Aptos" w:cs="Aptos" w:eastAsia="Aptos" w:hAnsi="Aptos"/>
          <w:b/>
          <w:bCs/>
          <w:color w:val="C00000"/>
          <w:sz w:val="22"/>
          <w:szCs w:val="22"/>
        </w:rPr>
        <w:t xml:space="preserve">[KILDE]</w:t>
      </w:r>
      <w:r>
        <w:rPr>
          <w:rFonts w:ascii="Aptos" w:cs="Aptos" w:eastAsia="Aptos" w:hAnsi="Aptos"/>
          <w:sz w:val="22"/>
          <w:szCs w:val="22"/>
        </w:rPr>
        <w:t xml:space="preserve">. Der er dermed hverken tale om højkonjunktur eller om en egentlig krise.</w:t>
      </w:r>
    </w:p>
    <w:p>
      <w:pPr>
        <w:spacing w:after="140" w:before="280" w:line="259"/>
      </w:pPr>
      <w:r>
        <w:rPr>
          <w:rFonts w:ascii="Aptos" w:cs="Aptos" w:eastAsia="Aptos" w:hAnsi="Aptos"/>
          <w:b/>
          <w:bCs/>
          <w:sz w:val="22"/>
          <w:szCs w:val="22"/>
        </w:rPr>
        <w:t xml:space="preserve">Hvad Japans BNP består af</w:t>
      </w:r>
    </w:p>
    <w:p>
      <w:pPr>
        <w:spacing w:after="180" w:line="259"/>
      </w:pPr>
      <w:r>
        <w:rPr>
          <w:rFonts w:ascii="Aptos" w:cs="Aptos" w:eastAsia="Aptos" w:hAnsi="Aptos"/>
          <w:sz w:val="22"/>
          <w:szCs w:val="22"/>
        </w:rPr>
        <w:t xml:space="preserve">BNP kan deles op ved hjælp af forsyningsbalancen, som viser, hvad den samlede produktion bruges til. I Japan fordeler det sig sådan, målt som andel af BNP i 2020 </w:t>
      </w:r>
      <w:r>
        <w:rPr>
          <w:rFonts w:ascii="Aptos" w:cs="Aptos" w:eastAsia="Aptos" w:hAnsi="Aptos"/>
          <w:b/>
          <w:bCs/>
          <w:color w:val="C00000"/>
          <w:sz w:val="22"/>
          <w:szCs w:val="22"/>
        </w:rPr>
        <w:t xml:space="preserve">[KILDE]</w:t>
      </w:r>
      <w:r>
        <w:rPr>
          <w:rFonts w:ascii="Aptos" w:cs="Aptos" w:eastAsia="Aptos" w:hAnsi="Aptos"/>
          <w:sz w:val="22"/>
          <w:szCs w:val="22"/>
        </w:rPr>
        <w:t xml:space="preserve">:</w:t>
      </w:r>
    </w:p>
    <w:p>
      <w:pPr>
        <w:pStyle w:val="ListParagraph"/>
        <w:numPr>
          <w:ilvl w:val="0"/>
          <w:numId w:val="1"/>
        </w:numPr>
        <w:spacing w:after="60" w:line="259"/>
      </w:pPr>
      <w:r>
        <w:rPr>
          <w:rFonts w:ascii="Aptos" w:cs="Aptos" w:eastAsia="Aptos" w:hAnsi="Aptos"/>
          <w:sz w:val="22"/>
          <w:szCs w:val="22"/>
        </w:rPr>
        <w:t xml:space="preserve">Privat forbrug: 54 %</w:t>
      </w:r>
    </w:p>
    <w:p>
      <w:pPr>
        <w:pStyle w:val="ListParagraph"/>
        <w:numPr>
          <w:ilvl w:val="0"/>
          <w:numId w:val="1"/>
        </w:numPr>
        <w:spacing w:after="60" w:line="259"/>
      </w:pPr>
      <w:r>
        <w:rPr>
          <w:rFonts w:ascii="Aptos" w:cs="Aptos" w:eastAsia="Aptos" w:hAnsi="Aptos"/>
          <w:sz w:val="22"/>
          <w:szCs w:val="22"/>
        </w:rPr>
        <w:t xml:space="preserve">Samlede investeringer: 26 %</w:t>
      </w:r>
    </w:p>
    <w:p>
      <w:pPr>
        <w:pStyle w:val="ListParagraph"/>
        <w:numPr>
          <w:ilvl w:val="0"/>
          <w:numId w:val="1"/>
        </w:numPr>
        <w:spacing w:after="60" w:line="259"/>
      </w:pPr>
      <w:r>
        <w:rPr>
          <w:rFonts w:ascii="Aptos" w:cs="Aptos" w:eastAsia="Aptos" w:hAnsi="Aptos"/>
          <w:sz w:val="22"/>
          <w:szCs w:val="22"/>
        </w:rPr>
        <w:t xml:space="preserve">Offentligt forbrug: 21 %</w:t>
      </w:r>
    </w:p>
    <w:p>
      <w:pPr>
        <w:pStyle w:val="ListParagraph"/>
        <w:numPr>
          <w:ilvl w:val="0"/>
          <w:numId w:val="1"/>
        </w:numPr>
        <w:spacing w:after="60" w:line="259"/>
      </w:pPr>
      <w:r>
        <w:rPr>
          <w:rFonts w:ascii="Aptos" w:cs="Aptos" w:eastAsia="Aptos" w:hAnsi="Aptos"/>
          <w:sz w:val="22"/>
          <w:szCs w:val="22"/>
        </w:rPr>
        <w:t xml:space="preserve">Eksport: 15,5 %</w:t>
      </w:r>
    </w:p>
    <w:p>
      <w:pPr>
        <w:pStyle w:val="ListParagraph"/>
        <w:numPr>
          <w:ilvl w:val="0"/>
          <w:numId w:val="1"/>
        </w:numPr>
        <w:spacing w:after="60" w:line="259"/>
      </w:pPr>
      <w:r>
        <w:rPr>
          <w:rFonts w:ascii="Aptos" w:cs="Aptos" w:eastAsia="Aptos" w:hAnsi="Aptos"/>
          <w:sz w:val="22"/>
          <w:szCs w:val="22"/>
        </w:rPr>
        <w:t xml:space="preserve">Import: 15,8 %</w:t>
      </w:r>
    </w:p>
    <w:p>
      <w:pPr>
        <w:spacing w:after="120"/>
      </w:pPr>
      <w:r>
        <w:rPr>
          <w:sz w:val="8"/>
          <w:szCs w:val="8"/>
        </w:rPr>
        <w:t xml:space="preserve"/>
      </w:r>
    </w:p>
    <w:p>
      <w:pPr>
        <w:spacing w:after="180" w:line="259"/>
      </w:pPr>
      <w:r>
        <w:rPr>
          <w:rFonts w:ascii="Aptos" w:cs="Aptos" w:eastAsia="Aptos" w:hAnsi="Aptos"/>
          <w:sz w:val="22"/>
          <w:szCs w:val="22"/>
        </w:rPr>
        <w:t xml:space="preserve">Det private forbrug er dermed klart den største del af japansk økonomi og fylder over halvdelen. Da importen er en anelse større end eksporten, er nettoeksporten svagt negativ. Hvor meget hver enkelt del faktisk bidrager til væksten, bliver undersøgt i analysen.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2026-09-11T08:04:40.305Z</dcterms:created>
  <dcterms:modified xsi:type="dcterms:W3CDTF">2026-09-11T08:04:40.320Z</dcterms:modified>
</cp:coreProperties>
</file>

<file path=docProps/custom.xml><?xml version="1.0" encoding="utf-8"?>
<Properties xmlns="http://schemas.openxmlformats.org/officeDocument/2006/custom-properties" xmlns:vt="http://schemas.openxmlformats.org/officeDocument/2006/docPropsVTypes"/>
</file>