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 w:line="259"/>
      </w:pPr>
      <w:r>
        <w:rPr>
          <w:rFonts w:ascii="Aptos" w:cs="Aptos" w:eastAsia="Aptos" w:hAnsi="Aptos"/>
          <w:b/>
          <w:bCs/>
          <w:color w:val="1F3864"/>
          <w:sz w:val="32"/>
          <w:szCs w:val="32"/>
        </w:rPr>
        <w:t xml:space="preserve">Arbejdsplan og rapportstruktur</w:t>
      </w:r>
    </w:p>
    <w:p>
      <w:pPr>
        <w:spacing w:after="14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Fag:</w:t>
      </w:r>
      <w:r>
        <w:rPr>
          <w:rFonts w:ascii="Aptos" w:cs="Aptos" w:eastAsia="Aptos" w:hAnsi="Aptos"/>
          <w:sz w:val="20"/>
          <w:szCs w:val="20"/>
        </w:rPr>
        <w:t xml:space="preserve"> International Økonomi A ·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Forløb 7:</w:t>
      </w:r>
      <w:r>
        <w:rPr>
          <w:rFonts w:ascii="Aptos" w:cs="Aptos" w:eastAsia="Aptos" w:hAnsi="Aptos"/>
          <w:sz w:val="20"/>
          <w:szCs w:val="20"/>
        </w:rPr>
        <w:t xml:space="preserve"> Handel i et konkurrencepræget perspektiv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Land:</w:t>
      </w:r>
      <w:r>
        <w:rPr>
          <w:rFonts w:ascii="Aptos" w:cs="Aptos" w:eastAsia="Aptos" w:hAnsi="Aptos"/>
          <w:sz w:val="20"/>
          <w:szCs w:val="20"/>
        </w:rPr>
        <w:t xml:space="preserve"> Japan ·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Periode:</w:t>
      </w:r>
      <w:r>
        <w:rPr>
          <w:rFonts w:ascii="Aptos" w:cs="Aptos" w:eastAsia="Aptos" w:hAnsi="Aptos"/>
          <w:sz w:val="20"/>
          <w:szCs w:val="20"/>
        </w:rPr>
        <w:t xml:space="preserve"> 2020–2025</w:t>
      </w:r>
    </w:p>
    <w:p>
      <w:pPr>
        <w:pStyle w:val="Heading2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Dokumenter i mappen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Fil</w:t>
            </w:r>
          </w:p>
        </w:tc>
        <w:tc>
          <w:tcPr>
            <w:tcW w:type="dxa" w:w="4535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Indhold</w:t>
            </w:r>
          </w:p>
        </w:tc>
      </w:tr>
      <w:tr>
        <w:trPr>
          <w:tblHeader w:val="false"/>
        </w:trP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00_Arbejdsplan.md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Denne fil: rækkefølge, struktur, formalia</w:t>
            </w:r>
          </w:p>
        </w:tc>
      </w:tr>
      <w:tr>
        <w:trPr>
          <w:tblHeader w:val="false"/>
        </w:trP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01_Datatjek_af_Excel.md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Kvalitetstjek af regnearket + hvad der skal rettes</w:t>
            </w:r>
          </w:p>
        </w:tc>
      </w:tr>
      <w:tr>
        <w:trPr>
          <w:tblHeader w:val="false"/>
        </w:trP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02_Landeanalyse_Japan.md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Kernen.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Selve landeanalysen: nøgletal, kausalkæder, hvad rapporten skal handle om</w:t>
            </w:r>
          </w:p>
        </w:tc>
      </w:tr>
      <w:tr>
        <w:trPr>
          <w:tblHeader w:val="false"/>
        </w:trP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03_Problemformulering.md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Problemstilling, problemformulering, metodeafsnit</w:t>
            </w:r>
          </w:p>
        </w:tc>
      </w:tr>
      <w:tr>
        <w:trPr>
          <w:tblHeader w:val="false"/>
        </w:trP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04_Analyse_udkast.md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Selve analysen skrevet ud som sammenhængende tekst, klar til rapporten</w:t>
            </w:r>
          </w:p>
        </w:tc>
      </w:tr>
      <w:tr>
        <w:trPr>
          <w:tblHeader w:val="false"/>
        </w:trP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Landeanalyse_Japan_lang.docx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Analysen i Word, ca. 4,2 normalsider. Formateret efter vejledningens formalia</w:t>
            </w:r>
          </w:p>
        </w:tc>
      </w:tr>
      <w:tr>
        <w:trPr>
          <w:tblHeader w:val="false"/>
        </w:trP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Landeanalyse_Japan_kort.docx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Kort version i Word, 0,9 normalside — fylder 88 pct. af én side</w:t>
            </w:r>
          </w:p>
        </w:tc>
      </w:tr>
      <w:tr>
        <w:trPr>
          <w:tblHeader w:val="false"/>
        </w:trP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Japan_noegletal_OECD.xlsx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Datasættet. Tre faner: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Nøgletal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Vækstbidrag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(levende formler + konsistenskontrol),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Kildekritik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(huller, klikveje, forbehold)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pBdr>
          <w:bottom w:val="single" w:color="D0D0D0" w:sz="6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240" w:line="259"/>
      </w:pPr>
      <w:r>
        <w:rPr>
          <w:rFonts w:ascii="Aptos" w:cs="Aptos" w:eastAsia="Aptos" w:hAnsi="Aptos"/>
          <w:b/>
          <w:bCs/>
          <w:color w:val="1F3864"/>
          <w:sz w:val="32"/>
          <w:szCs w:val="32"/>
        </w:rPr>
        <w:t xml:space="preserve">Rækkefølgen vi skriver i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Det vigtigste råd i hele dokumentet: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rapporten skal ikke skrives i den rækkefølge, den læses i.</w:t>
      </w:r>
      <w:r>
        <w:rPr>
          <w:rFonts w:ascii="Aptos" w:cs="Aptos" w:eastAsia="Aptos" w:hAnsi="Aptos"/>
          <w:sz w:val="20"/>
          <w:szCs w:val="20"/>
        </w:rPr>
        <w:t xml:space="preserve"> Skriver man indledningen først, låser man sig fast på en historie, før man ved, hvad tallene siger — og så bruger man tre uger på at tvinge analysen ind i en ramme, der ikke passer.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9"/>
      </w:tblGrid>
      <w:tr>
        <w:trPr>
          <w:tblHeader/>
        </w:trPr>
        <w:tc>
          <w:tcPr>
            <w:tcW w:type="dxa" w:w="2267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67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Trin</w:t>
            </w:r>
          </w:p>
        </w:tc>
        <w:tc>
          <w:tcPr>
            <w:tcW w:type="dxa" w:w="2267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269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Hvorfor her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Landeanalysen i råform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✅ udkast findes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Vi skal vide, hvad historien er, før vi kan formulere spørgsmålet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Skaf de manglende talserier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🟡 delvist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Valutakurs, shunto og styringsrente er indsat (skal verificeres). Mangler: forsyningsbalancen 2024-26, 10-årig rente, løn, effektiv valutakurs. Se fanen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Kildekritik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3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Lås problemstilling + problemformulering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⬜ udkast findes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Følger af trin 1. Alt andet hænger på den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4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Metodeafsnit, første udkast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⬜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Skrives tidligt, redigeres løbende, færdiggøres til sidst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5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Redegørelsen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⬜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Skrives </w:t>
            </w:r>
            <w:r>
              <w:rPr>
                <w:rFonts w:ascii="Aptos" w:cs="Aptos" w:eastAsia="Aptos" w:hAnsi="Aptos"/>
                <w:i/>
                <w:iCs/>
                <w:sz w:val="20"/>
                <w:szCs w:val="20"/>
              </w:rPr>
              <w:t xml:space="preserve">efter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analysen er tænkt færdig — så ved vi, hvad læseren skal vide på forhånd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6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Analysen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🟡 udkast findes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Se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04_Analyse_udkast.md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. Mangler kildehenvisninger og de tre figurer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7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Diskussion og vurdering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⬜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8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Konklusion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⬜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Svar på problemformuleringens punkter, ét for ét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9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Indledningen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⬜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Næstsidst. Nu ved vi, hvad vi indleder til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10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Resuméet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⬜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Allersidst.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Vejledningen er eksplicit: resuméet er ikke en ekstra indledning, det skrives efter opgaven er færdig</w:t>
            </w:r>
          </w:p>
        </w:tc>
      </w:tr>
      <w:tr>
        <w:trPr>
          <w:tblHeader w:val="false"/>
        </w:trPr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11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Litteraturliste, indholdsfortegnelse, formalia</w:t>
            </w:r>
          </w:p>
        </w:tc>
        <w:tc>
          <w:tcPr>
            <w:tcW w:type="dxa" w:w="22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⬜</w:t>
            </w:r>
          </w:p>
        </w:tc>
        <w:tc>
          <w:tcPr>
            <w:tcW w:type="dxa" w:w="2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Start altså med trin 2 og 3.</w:t>
      </w:r>
      <w:r>
        <w:rPr>
          <w:rFonts w:ascii="Aptos" w:cs="Aptos" w:eastAsia="Aptos" w:hAnsi="Aptos"/>
          <w:sz w:val="20"/>
          <w:szCs w:val="20"/>
        </w:rPr>
        <w:t xml:space="preserve"> Trin 2 kan I gøre på en time. Trin 3 tager en samtale.</w:t>
      </w:r>
    </w:p>
    <w:p>
      <w:pPr>
        <w:pBdr>
          <w:bottom w:val="single" w:color="D0D0D0" w:sz="6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240" w:line="259"/>
      </w:pPr>
      <w:r>
        <w:rPr>
          <w:rFonts w:ascii="Aptos" w:cs="Aptos" w:eastAsia="Aptos" w:hAnsi="Aptos"/>
          <w:b/>
          <w:bCs/>
          <w:color w:val="1F3864"/>
          <w:sz w:val="32"/>
          <w:szCs w:val="32"/>
        </w:rPr>
        <w:t xml:space="preserve">Forslag til indholdsfortegnelse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Vejledningen kræver, at overskrifterne er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sigende</w:t>
      </w:r>
      <w:r>
        <w:rPr>
          <w:rFonts w:ascii="Aptos" w:cs="Aptos" w:eastAsia="Aptos" w:hAnsi="Aptos"/>
          <w:sz w:val="20"/>
          <w:szCs w:val="20"/>
        </w:rPr>
        <w:t xml:space="preserve"> — det er ikke nok at skrive "Analyse" eller "Redegørelse". Læseren skal kunne se af indholdsfortegnelsen, hvad opgaven handler om. Overskrifterne nummereres.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1  Indledning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2  Problemformulering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3  Metode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4  Japans økonomiske udgangspunkt: tre årtier med lavvækst og deflation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   4.1  Den demografiske udvikling og det japanske arbejdsmarked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   4.2  Yenens svækkelse og Bank of Japans pengepolitik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5  Udviklingen i Japans centrale nøgletal 2020-2025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6  Makroøkonomisk landeanalyse af Japan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   6.1  Vækstens sammensætning: eksporten trækker, forbrugeren står stille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   6.2  Fra deflation til importeret inflation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   6.3  Reallønsfaldet og den opbrugte opsparing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   6.4  Et stramt arbejdsmarked uden lønpres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   6.5  Statsgæld på 244 pct. af BNP i en verden med stigende renter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   6.6  Delkonklusion: Japans centrale økonomiske usikkerheder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7  Diskussion: er en svag yen en holdbar vækststrategi?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8  Vurdering af mulige økonomisk-politiske tiltag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9  Konklusion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10 Litteraturliste</w:t>
      </w:r>
    </w:p>
    <w:p>
      <w:pPr>
        <w:spacing w:after="0" w:line="240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11 Bilag</w:t>
      </w:r>
    </w:p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Bemærk sammenhængen: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afsnit 6.1–6.5 er præcis de fire kausalkæder</w:t>
      </w:r>
      <w:r>
        <w:rPr>
          <w:rFonts w:ascii="Aptos" w:cs="Aptos" w:eastAsia="Aptos" w:hAnsi="Aptos"/>
          <w:sz w:val="20"/>
          <w:szCs w:val="20"/>
        </w:rPr>
        <w:t xml:space="preserve"> fra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02_Landeanalyse_Japan.md</w:t>
      </w:r>
      <w:r>
        <w:rPr>
          <w:rFonts w:ascii="Aptos" w:cs="Aptos" w:eastAsia="Aptos" w:hAnsi="Aptos"/>
          <w:sz w:val="20"/>
          <w:szCs w:val="20"/>
        </w:rPr>
        <w:t xml:space="preserve">. Analysen er allerede tænkt — den skal skrives ud.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Forside og resumé kommer før indholdsfortegnelsen og står derfor ikke i den.</w:t>
      </w:r>
    </w:p>
    <w:p>
      <w:pPr>
        <w:pBdr>
          <w:bottom w:val="single" w:color="D0D0D0" w:sz="6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240" w:line="259"/>
      </w:pPr>
      <w:r>
        <w:rPr>
          <w:rFonts w:ascii="Aptos" w:cs="Aptos" w:eastAsia="Aptos" w:hAnsi="Aptos"/>
          <w:b/>
          <w:bCs/>
          <w:color w:val="1F3864"/>
          <w:sz w:val="32"/>
          <w:szCs w:val="32"/>
        </w:rPr>
        <w:t xml:space="preserve">Formalia — tjekliste fra vejledningen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Sideopsætning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Skrifttype: Times New Roman, Calibri eller Arial · 12 pkt. brødtekst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Linjeafstand: 1½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Margen: min. 2,5 cm venstre/højre, 3,0 cm top/bund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Sidehoved eller -fod med sidetal, navn og skolens navn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Alle sider nummereres undtagen forside, resumé og indholdsfortegnelse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Omfang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En normalside = 2 400 tegn inkl. mellemrum. Tælles med: resumé, indledning, metode, besvarelse, konklusion, evt. perspektivering. Tælles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ikke</w:t>
      </w:r>
      <w:r>
        <w:rPr>
          <w:rFonts w:ascii="Aptos" w:cs="Aptos" w:eastAsia="Aptos" w:hAnsi="Aptos"/>
          <w:sz w:val="20"/>
          <w:szCs w:val="20"/>
        </w:rPr>
        <w:t xml:space="preserve"> med: forside, indholdsfortegnelse, fodnoter, litteraturliste, bilag.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Forside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Titel · afleveringsdato · navn og klasse · fag og niveau · vejleders navn og e-mail · skolens navn og afdeling.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Resumé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10–20 linjer på dansk. Skal indeholde problemformuleringen og de væsentligste resultater og konklusioner. Skrives til sidst.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Kildehenvisninger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Fodnote-metoden eller parentes-metoden —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vælg én og hold den hele vejen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Henvisningen placeres lige efter det tekststykke, den hører til — ikke samlet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til sidst i afsnittet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Alt i fodnoterne skal kunne genfindes i litteraturlisten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Lange links forkortes i fodnoten til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[LINK]</w:t>
      </w:r>
      <w:r>
        <w:rPr>
          <w:rFonts w:ascii="Aptos" w:cs="Aptos" w:eastAsia="Aptos" w:hAnsi="Aptos"/>
          <w:sz w:val="20"/>
          <w:szCs w:val="20"/>
        </w:rPr>
        <w:t xml:space="preserve"> med linket indlejret; det fulde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link står i litteraturlisten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Litteraturlisten opstilles alfabetisk efter afsender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Vores kilder bliver primært internetkilder, og formatet er:</w:t>
      </w:r>
    </w:p>
    <w:p>
      <w:pPr>
        <w:pBdr>
          <w:left w:val="single" w:color="1F3864" w:sz="12" w:space="10"/>
        </w:pBdr>
        <w:spacing w:after="200" w:before="120" w:line="259"/>
        <w:ind w:left="300"/>
      </w:pPr>
      <w:r>
        <w:rPr>
          <w:rFonts w:ascii="Aptos" w:cs="Aptos" w:eastAsia="Aptos" w:hAnsi="Aptos"/>
          <w:sz w:val="20"/>
          <w:szCs w:val="20"/>
        </w:rPr>
        <w:t xml:space="preserve">Afsender, "titel i citationstegn", </w:t>
      </w:r>
      <w:r>
        <w:rPr>
          <w:rFonts w:ascii="Aptos" w:cs="Aptos" w:eastAsia="Aptos" w:hAnsi="Aptos"/>
          <w:i/>
          <w:iCs/>
          <w:sz w:val="20"/>
          <w:szCs w:val="20"/>
        </w:rPr>
        <w:t xml:space="preserve">mediets navn i kursiv</w:t>
      </w:r>
      <w:r>
        <w:rPr>
          <w:rFonts w:ascii="Aptos" w:cs="Aptos" w:eastAsia="Aptos" w:hAnsi="Aptos"/>
          <w:sz w:val="20"/>
          <w:szCs w:val="20"/>
        </w:rPr>
        <w:t xml:space="preserve">, dato, dybt link  OECD, </w:t>
      </w:r>
      <w:r>
        <w:rPr>
          <w:rFonts w:ascii="Aptos" w:cs="Aptos" w:eastAsia="Aptos" w:hAnsi="Aptos"/>
          <w:i/>
          <w:iCs/>
          <w:sz w:val="20"/>
          <w:szCs w:val="20"/>
        </w:rPr>
        <w:t xml:space="preserve">Economic Outlook</w:t>
      </w:r>
      <w:r>
        <w:rPr>
          <w:rFonts w:ascii="Aptos" w:cs="Aptos" w:eastAsia="Aptos" w:hAnsi="Aptos"/>
          <w:sz w:val="20"/>
          <w:szCs w:val="20"/>
        </w:rPr>
        <w:t xml:space="preserve">, [nr. og måned/år], https://...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Tabeller og figurer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Lærebogens tommelfingerregler — hver eneste tabel og graf skal have: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Overskrift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Enhed (kr., mio., pct. …)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Kildehenvisning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Evt. forklaringsnote til tallene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Og: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lav noget data og illustrer det.</w:t>
      </w:r>
      <w:r>
        <w:rPr>
          <w:rFonts w:ascii="Aptos" w:cs="Aptos" w:eastAsia="Aptos" w:hAnsi="Aptos"/>
          <w:sz w:val="20"/>
          <w:szCs w:val="20"/>
        </w:rPr>
        <w:t xml:space="preserve"> Vækstbidragstabellen, inflations- og kerneinflationskurven, opsparingskvotens fald og gældskurven er alle fire oplagte figurer — de bærer hver sin kausalkæde.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Fælder at undgå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Resuméet må ikke blive en ekstra indledning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Metodeafsnittet må ikke opdeles fag for fag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Overskrifter som "Analyse" eller "Redegørelse" er ikke nok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Citater må aldrig stå ukommenterede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Tjek til sidst, at indledningen og metodeafsnittet stadig passer til det, I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rent faktisk endte med at skrive</w:t>
      </w:r>
    </w:p>
    <w:sectPr>
      <w:footerReference w:type="default" r:id="rId7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808080"/>
        <w:sz w:val="16"/>
        <w:szCs w:val="16"/>
      </w:rPr>
      <w:t xml:space="preserve">Arbejdsplan og rapportstruktur   ·   side </w:t>
    </w:r>
    <w:r>
      <w:rPr>
        <w:rFonts w:ascii="Aptos" w:cs="Aptos" w:eastAsia="Aptos" w:hAnsi="Aptos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2026-09-05T17:18:59.758Z</dcterms:created>
  <dcterms:modified xsi:type="dcterms:W3CDTF">2026-09-05T17:18:59.758Z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