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 w:line="259"/>
      </w:pPr>
      <w:r>
        <w:rPr>
          <w:rFonts w:ascii="Aptos" w:cs="Aptos" w:eastAsia="Aptos" w:hAnsi="Aptos"/>
          <w:b/>
          <w:bCs/>
          <w:color w:val="1F3864"/>
          <w:sz w:val="32"/>
          <w:szCs w:val="32"/>
        </w:rPr>
        <w:t xml:space="preserve">Datatjek: Betalingsbalance.xlsx</w:t>
      </w:r>
    </w:p>
    <w:p>
      <w:pPr>
        <w:pStyle w:val="Heading2"/>
        <w:spacing w:after="160" w:before="320" w:line="259"/>
      </w:pPr>
      <w:r>
        <w:rPr>
          <w:rFonts w:ascii="Aptos" w:cs="Aptos" w:eastAsia="Aptos" w:hAnsi="Aptos"/>
          <w:b/>
          <w:bCs/>
          <w:color w:val="000000"/>
          <w:sz w:val="26"/>
          <w:szCs w:val="26"/>
        </w:rPr>
        <w:t xml:space="preserve">Kort svar: arket er i god stand</w:t>
      </w:r>
    </w:p>
    <w:p>
      <w:pPr>
        <w:spacing w:after="140" w:line="259"/>
      </w:pPr>
      <w:r>
        <w:rPr>
          <w:rFonts w:ascii="Aptos" w:cs="Aptos" w:eastAsia="Aptos" w:hAnsi="Aptos"/>
          <w:sz w:val="20"/>
          <w:szCs w:val="20"/>
        </w:rPr>
        <w:t xml:space="preserve">Jeg har regnet efter, og tallene hænger sammen indbyrdes. Det er det vigtigste kvalitetstegn, fordi det betyder, at I har hentet én sammenhængende talserie fra én kilde og ikke blandet årgange eller kilder sammen.</w:t>
      </w:r>
    </w:p>
    <w:p>
      <w:pPr>
        <w:pStyle w:val="Heading2"/>
        <w:spacing w:after="160" w:before="320" w:line="259"/>
      </w:pPr>
      <w:r>
        <w:rPr>
          <w:rFonts w:ascii="Aptos" w:cs="Aptos" w:eastAsia="Aptos" w:hAnsi="Aptos"/>
          <w:b/>
          <w:bCs/>
          <w:color w:val="000000"/>
          <w:sz w:val="26"/>
          <w:szCs w:val="26"/>
        </w:rPr>
        <w:t xml:space="preserve">Tjek 1: Vækstbidragene summer til BNP-væksten</w:t>
      </w:r>
    </w:p>
    <w:p>
      <w:pPr>
        <w:spacing w:after="140" w:line="259"/>
      </w:pPr>
      <w:r>
        <w:rPr>
          <w:rFonts w:ascii="Aptos" w:cs="Aptos" w:eastAsia="Aptos" w:hAnsi="Aptos"/>
          <w:sz w:val="20"/>
          <w:szCs w:val="20"/>
        </w:rPr>
        <w:t xml:space="preserve">Vægtene fra 2020-niveauerne (mia. USD): privat forbrug 54,0 pct. af BNP, offentligt forbrug 21,0 pct., investeringer 25,6 pct., eksport 15,5 pct., import 15,8 pct.</w:t>
      </w:r>
    </w:p>
    <w:p>
      <w:pPr>
        <w:spacing w:after="140" w:line="259"/>
      </w:pPr>
      <w:r>
        <w:rPr>
          <w:rFonts w:ascii="Aptos" w:cs="Aptos" w:eastAsia="Aptos" w:hAnsi="Aptos"/>
          <w:sz w:val="20"/>
          <w:szCs w:val="20"/>
        </w:rPr>
        <w:t xml:space="preserve">Ganger man hver komponents realvækst med dens vægt og lægger nettoeksportens og lagerinvesteringernes bidrag til, får man BNP-væksten: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9"/>
      </w:tblGrid>
      <w:tr>
        <w:trPr>
          <w:tblHeader/>
        </w:trPr>
        <w:tc>
          <w:tcPr>
            <w:tcW w:type="dxa" w:w="1133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År</w:t>
            </w:r>
          </w:p>
        </w:tc>
        <w:tc>
          <w:tcPr>
            <w:tcW w:type="dxa" w:w="1133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Privat forbr.</w:t>
            </w:r>
          </w:p>
        </w:tc>
        <w:tc>
          <w:tcPr>
            <w:tcW w:type="dxa" w:w="1133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Off. forbr.</w:t>
            </w:r>
          </w:p>
        </w:tc>
        <w:tc>
          <w:tcPr>
            <w:tcW w:type="dxa" w:w="1133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Investeringer</w:t>
            </w:r>
          </w:p>
        </w:tc>
        <w:tc>
          <w:tcPr>
            <w:tcW w:type="dxa" w:w="1133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Nettoeksport</w:t>
            </w:r>
          </w:p>
        </w:tc>
        <w:tc>
          <w:tcPr>
            <w:tcW w:type="dxa" w:w="1133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Lager</w:t>
            </w:r>
          </w:p>
        </w:tc>
        <w:tc>
          <w:tcPr>
            <w:tcW w:type="dxa" w:w="1133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Sum</w:t>
            </w:r>
          </w:p>
        </w:tc>
        <w:tc>
          <w:tcPr>
            <w:tcW w:type="dxa" w:w="1139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BNP i arket</w:t>
            </w:r>
          </w:p>
        </w:tc>
      </w:tr>
      <w:tr>
        <w:trPr>
          <w:tblHeader w:val="false"/>
        </w:trPr>
        <w:tc>
          <w:tcPr>
            <w:tcW w:type="dxa" w:w="1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2021</w:t>
            </w:r>
          </w:p>
        </w:tc>
        <w:tc>
          <w:tcPr>
            <w:tcW w:type="dxa" w:w="1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0,22</w:t>
            </w:r>
          </w:p>
        </w:tc>
        <w:tc>
          <w:tcPr>
            <w:tcW w:type="dxa" w:w="1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0,73</w:t>
            </w:r>
          </w:p>
        </w:tc>
        <w:tc>
          <w:tcPr>
            <w:tcW w:type="dxa" w:w="1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0,05</w:t>
            </w:r>
          </w:p>
        </w:tc>
        <w:tc>
          <w:tcPr>
            <w:tcW w:type="dxa" w:w="1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1,00</w:t>
            </w:r>
          </w:p>
        </w:tc>
        <w:tc>
          <w:tcPr>
            <w:tcW w:type="dxa" w:w="1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0,20</w:t>
            </w:r>
          </w:p>
        </w:tc>
        <w:tc>
          <w:tcPr>
            <w:tcW w:type="dxa" w:w="1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2,20</w:t>
            </w:r>
          </w:p>
        </w:tc>
        <w:tc>
          <w:tcPr>
            <w:tcW w:type="dxa" w:w="11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2,2</w:t>
            </w:r>
          </w:p>
        </w:tc>
      </w:tr>
      <w:tr>
        <w:trPr>
          <w:tblHeader w:val="false"/>
        </w:trPr>
        <w:tc>
          <w:tcPr>
            <w:tcW w:type="dxa" w:w="1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2022</w:t>
            </w:r>
          </w:p>
        </w:tc>
        <w:tc>
          <w:tcPr>
            <w:tcW w:type="dxa" w:w="1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1,08</w:t>
            </w:r>
          </w:p>
        </w:tc>
        <w:tc>
          <w:tcPr>
            <w:tcW w:type="dxa" w:w="1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0,25</w:t>
            </w:r>
          </w:p>
        </w:tc>
        <w:tc>
          <w:tcPr>
            <w:tcW w:type="dxa" w:w="1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−0,26</w:t>
            </w:r>
          </w:p>
        </w:tc>
        <w:tc>
          <w:tcPr>
            <w:tcW w:type="dxa" w:w="1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−0,60</w:t>
            </w:r>
          </w:p>
        </w:tc>
        <w:tc>
          <w:tcPr>
            <w:tcW w:type="dxa" w:w="1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0,40</w:t>
            </w:r>
          </w:p>
        </w:tc>
        <w:tc>
          <w:tcPr>
            <w:tcW w:type="dxa" w:w="1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0,88</w:t>
            </w:r>
          </w:p>
        </w:tc>
        <w:tc>
          <w:tcPr>
            <w:tcW w:type="dxa" w:w="11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0,9</w:t>
            </w:r>
          </w:p>
        </w:tc>
      </w:tr>
      <w:tr>
        <w:trPr>
          <w:tblHeader w:val="false"/>
        </w:trPr>
        <w:tc>
          <w:tcPr>
            <w:tcW w:type="dxa" w:w="1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2023</w:t>
            </w:r>
          </w:p>
        </w:tc>
        <w:tc>
          <w:tcPr>
            <w:tcW w:type="dxa" w:w="1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0,38</w:t>
            </w:r>
          </w:p>
        </w:tc>
        <w:tc>
          <w:tcPr>
            <w:tcW w:type="dxa" w:w="1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0,10</w:t>
            </w:r>
          </w:p>
        </w:tc>
        <w:tc>
          <w:tcPr>
            <w:tcW w:type="dxa" w:w="1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0,43</w:t>
            </w:r>
          </w:p>
        </w:tc>
        <w:tc>
          <w:tcPr>
            <w:tcW w:type="dxa" w:w="1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0,80</w:t>
            </w:r>
          </w:p>
        </w:tc>
        <w:tc>
          <w:tcPr>
            <w:tcW w:type="dxa" w:w="1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−0,20</w:t>
            </w:r>
          </w:p>
        </w:tc>
        <w:tc>
          <w:tcPr>
            <w:tcW w:type="dxa" w:w="1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1,52</w:t>
            </w:r>
          </w:p>
        </w:tc>
        <w:tc>
          <w:tcPr>
            <w:tcW w:type="dxa" w:w="11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1,7</w:t>
            </w:r>
          </w:p>
        </w:tc>
      </w:tr>
      <w:tr>
        <w:trPr>
          <w:tblHeader w:val="false"/>
        </w:trPr>
        <w:tc>
          <w:tcPr>
            <w:tcW w:type="dxa" w:w="1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2024</w:t>
            </w:r>
          </w:p>
        </w:tc>
        <w:tc>
          <w:tcPr>
            <w:tcW w:type="dxa" w:w="1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0,38</w:t>
            </w:r>
          </w:p>
        </w:tc>
        <w:tc>
          <w:tcPr>
            <w:tcW w:type="dxa" w:w="1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−0,06</w:t>
            </w:r>
          </w:p>
        </w:tc>
        <w:tc>
          <w:tcPr>
            <w:tcW w:type="dxa" w:w="1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0,66</w:t>
            </w:r>
          </w:p>
        </w:tc>
        <w:tc>
          <w:tcPr>
            <w:tcW w:type="dxa" w:w="1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0,20</w:t>
            </w:r>
          </w:p>
        </w:tc>
        <w:tc>
          <w:tcPr>
            <w:tcW w:type="dxa" w:w="1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−0,20</w:t>
            </w:r>
          </w:p>
        </w:tc>
        <w:tc>
          <w:tcPr>
            <w:tcW w:type="dxa" w:w="1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0,98</w:t>
            </w:r>
          </w:p>
        </w:tc>
        <w:tc>
          <w:tcPr>
            <w:tcW w:type="dxa" w:w="11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1,0</w:t>
            </w:r>
          </w:p>
        </w:tc>
      </w:tr>
      <w:tr>
        <w:trPr>
          <w:tblHeader w:val="false"/>
        </w:trPr>
        <w:tc>
          <w:tcPr>
            <w:tcW w:type="dxa" w:w="1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2025</w:t>
            </w:r>
          </w:p>
        </w:tc>
        <w:tc>
          <w:tcPr>
            <w:tcW w:type="dxa" w:w="1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0,38</w:t>
            </w:r>
          </w:p>
        </w:tc>
        <w:tc>
          <w:tcPr>
            <w:tcW w:type="dxa" w:w="1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0,00</w:t>
            </w:r>
          </w:p>
        </w:tc>
        <w:tc>
          <w:tcPr>
            <w:tcW w:type="dxa" w:w="1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0,72</w:t>
            </w:r>
          </w:p>
        </w:tc>
        <w:tc>
          <w:tcPr>
            <w:tcW w:type="dxa" w:w="1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0,10</w:t>
            </w:r>
          </w:p>
        </w:tc>
        <w:tc>
          <w:tcPr>
            <w:tcW w:type="dxa" w:w="1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0,00</w:t>
            </w:r>
          </w:p>
        </w:tc>
        <w:tc>
          <w:tcPr>
            <w:tcW w:type="dxa" w:w="1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1,19</w:t>
            </w:r>
          </w:p>
        </w:tc>
        <w:tc>
          <w:tcPr>
            <w:tcW w:type="dxa" w:w="11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1,2</w:t>
            </w:r>
          </w:p>
        </w:tc>
      </w:tr>
    </w:tbl>
    <w:p>
      <w:pPr>
        <w:spacing w:after="160"/>
      </w:pPr>
      <w:r>
        <w:rPr>
          <w:sz w:val="10"/>
          <w:szCs w:val="10"/>
        </w:rPr>
        <w:t xml:space="preserve"/>
      </w:r>
    </w:p>
    <w:p>
      <w:pPr>
        <w:spacing w:after="140" w:line="259"/>
      </w:pPr>
      <w:r>
        <w:rPr>
          <w:rFonts w:ascii="Aptos" w:cs="Aptos" w:eastAsia="Aptos" w:hAnsi="Aptos"/>
          <w:i/>
          <w:iCs/>
          <w:sz w:val="20"/>
          <w:szCs w:val="20"/>
        </w:rPr>
        <w:t xml:space="preserve">(alle tal i pct.point)</w:t>
      </w:r>
    </w:p>
    <w:p>
      <w:pPr>
        <w:spacing w:after="140" w:line="259"/>
      </w:pPr>
      <w:r>
        <w:rPr>
          <w:rFonts w:ascii="Aptos" w:cs="Aptos" w:eastAsia="Aptos" w:hAnsi="Aptos"/>
          <w:sz w:val="20"/>
          <w:szCs w:val="20"/>
        </w:rPr>
        <w:t xml:space="preserve">Fire ud af fem år rammer inden for 0,02 pct.point. Kun 2023 afviger med 0,18 pct.point, og det er forventeligt: vægtene er låst til 2020, mens de reelle vægte forskyder sig hen over årene. Det er ikke en fejl.</w:t>
      </w:r>
    </w:p>
    <w:p>
      <w:pPr>
        <w:spacing w:after="140" w:line="259"/>
      </w:pPr>
      <w:r>
        <w:rPr>
          <w:rFonts w:ascii="Aptos" w:cs="Aptos" w:eastAsia="Aptos" w:hAnsi="Aptos"/>
          <w:b/>
          <w:bCs/>
          <w:sz w:val="20"/>
          <w:szCs w:val="20"/>
        </w:rPr>
        <w:t xml:space="preserve">Det kan I bruge i selve rapporten.</w:t>
      </w:r>
      <w:r>
        <w:rPr>
          <w:rFonts w:ascii="Aptos" w:cs="Aptos" w:eastAsia="Aptos" w:hAnsi="Aptos"/>
          <w:sz w:val="20"/>
          <w:szCs w:val="20"/>
        </w:rPr>
        <w:t xml:space="preserve"> Tabellen ovenfor er ikke bare et tjek — den er svaret på "hvad driver japansk vækst?". Lav den som figur.</w:t>
      </w:r>
    </w:p>
    <w:p>
      <w:pPr>
        <w:pStyle w:val="Heading2"/>
        <w:spacing w:after="160" w:before="320" w:line="259"/>
      </w:pPr>
      <w:r>
        <w:rPr>
          <w:rFonts w:ascii="Aptos" w:cs="Aptos" w:eastAsia="Aptos" w:hAnsi="Aptos"/>
          <w:b/>
          <w:bCs/>
          <w:color w:val="000000"/>
          <w:sz w:val="26"/>
          <w:szCs w:val="26"/>
        </w:rPr>
        <w:t xml:space="preserve">Tjek 2: Nettoeksportens bidrag stemmer med eksport- og importvæksten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4"/>
      </w:tblGrid>
      <w:tr>
        <w:trPr>
          <w:tblHeader/>
        </w:trPr>
        <w:tc>
          <w:tcPr>
            <w:tcW w:type="dxa" w:w="3023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År</w:t>
            </w:r>
          </w:p>
        </w:tc>
        <w:tc>
          <w:tcPr>
            <w:tcW w:type="dxa" w:w="3023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Beregnet ud fra X/M-vækst</w:t>
            </w:r>
          </w:p>
        </w:tc>
        <w:tc>
          <w:tcPr>
            <w:tcW w:type="dxa" w:w="3024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I arket</w:t>
            </w:r>
          </w:p>
        </w:tc>
      </w:tr>
      <w:tr>
        <w:trPr>
          <w:tblHeader w:val="false"/>
        </w:trPr>
        <w:tc>
          <w:tcPr>
            <w:tcW w:type="dxa" w:w="30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2021</w:t>
            </w:r>
          </w:p>
        </w:tc>
        <w:tc>
          <w:tcPr>
            <w:tcW w:type="dxa" w:w="30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+1,04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+1,0</w:t>
            </w:r>
          </w:p>
        </w:tc>
      </w:tr>
      <w:tr>
        <w:trPr>
          <w:tblHeader w:val="false"/>
        </w:trPr>
        <w:tc>
          <w:tcPr>
            <w:tcW w:type="dxa" w:w="30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2022</w:t>
            </w:r>
          </w:p>
        </w:tc>
        <w:tc>
          <w:tcPr>
            <w:tcW w:type="dxa" w:w="30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−0,47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−0,6</w:t>
            </w:r>
          </w:p>
        </w:tc>
      </w:tr>
      <w:tr>
        <w:trPr>
          <w:tblHeader w:val="false"/>
        </w:trPr>
        <w:tc>
          <w:tcPr>
            <w:tcW w:type="dxa" w:w="30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2023</w:t>
            </w:r>
          </w:p>
        </w:tc>
        <w:tc>
          <w:tcPr>
            <w:tcW w:type="dxa" w:w="30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+0,58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+0,8</w:t>
            </w:r>
          </w:p>
        </w:tc>
      </w:tr>
      <w:tr>
        <w:trPr>
          <w:tblHeader w:val="false"/>
        </w:trPr>
        <w:tc>
          <w:tcPr>
            <w:tcW w:type="dxa" w:w="30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2024</w:t>
            </w:r>
          </w:p>
        </w:tc>
        <w:tc>
          <w:tcPr>
            <w:tcW w:type="dxa" w:w="30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+0,18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+0,2</w:t>
            </w:r>
          </w:p>
        </w:tc>
      </w:tr>
      <w:tr>
        <w:trPr>
          <w:tblHeader w:val="false"/>
        </w:trPr>
        <w:tc>
          <w:tcPr>
            <w:tcW w:type="dxa" w:w="30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2025</w:t>
            </w:r>
          </w:p>
        </w:tc>
        <w:tc>
          <w:tcPr>
            <w:tcW w:type="dxa" w:w="30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+0,06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+0,1</w:t>
            </w:r>
          </w:p>
        </w:tc>
      </w:tr>
    </w:tbl>
    <w:p>
      <w:pPr>
        <w:spacing w:after="160"/>
      </w:pPr>
      <w:r>
        <w:rPr>
          <w:sz w:val="10"/>
          <w:szCs w:val="10"/>
        </w:rPr>
        <w:t xml:space="preserve"/>
      </w:r>
    </w:p>
    <w:p>
      <w:pPr>
        <w:spacing w:after="140" w:line="259"/>
      </w:pPr>
      <w:r>
        <w:rPr>
          <w:rFonts w:ascii="Aptos" w:cs="Aptos" w:eastAsia="Aptos" w:hAnsi="Aptos"/>
          <w:sz w:val="20"/>
          <w:szCs w:val="20"/>
        </w:rPr>
        <w:t xml:space="preserve">Passer. Rækkerne er hentet fra samme opgørelse.</w:t>
      </w:r>
    </w:p>
    <w:p>
      <w:pPr>
        <w:pStyle w:val="Heading2"/>
        <w:spacing w:after="160" w:before="320" w:line="259"/>
      </w:pPr>
      <w:r>
        <w:rPr>
          <w:rFonts w:ascii="Aptos" w:cs="Aptos" w:eastAsia="Aptos" w:hAnsi="Aptos"/>
          <w:b/>
          <w:bCs/>
          <w:color w:val="000000"/>
          <w:sz w:val="26"/>
          <w:szCs w:val="26"/>
        </w:rPr>
        <w:t xml:space="preserve">Tjek 3: Forsyningsbalancen i niveauer</w:t>
      </w:r>
    </w:p>
    <w:p>
      <w:pPr>
        <w:spacing w:after="140" w:line="259"/>
      </w:pPr>
      <w:r>
        <w:rPr>
          <w:rFonts w:ascii="Aptos" w:cs="Aptos" w:eastAsia="Aptos" w:hAnsi="Aptos"/>
          <w:sz w:val="20"/>
          <w:szCs w:val="20"/>
        </w:rPr>
        <w:t xml:space="preserve">2 726 + 1 060 + 1 291 + 785 − 799 = 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5 063</w:t>
      </w:r>
      <w:r>
        <w:rPr>
          <w:rFonts w:ascii="Aptos" w:cs="Aptos" w:eastAsia="Aptos" w:hAnsi="Aptos"/>
          <w:sz w:val="20"/>
          <w:szCs w:val="20"/>
        </w:rPr>
        <w:t xml:space="preserve"> mod BNP på 5 051 mia. USD. Differencen på 12 mia. USD (0,2 pct.) er lagerændringer og statistisk diskrepans. Helt normalt.</w:t>
      </w:r>
    </w:p>
    <w:p>
      <w:pPr>
        <w:pBdr>
          <w:bottom w:val="single" w:color="D0D0D0" w:sz="6" w:space="1"/>
        </w:pBdr>
        <w:spacing w:after="200" w:before="160"/>
      </w:pPr>
      <w:r>
        <w:rPr>
          <w:sz w:val="2"/>
          <w:szCs w:val="2"/>
        </w:rPr>
        <w:t xml:space="preserve"/>
      </w:r>
    </w:p>
    <w:p>
      <w:pPr>
        <w:pBdr>
          <w:bottom w:val="single" w:color="D0D0D0" w:sz="6" w:space="1"/>
        </w:pBdr>
        <w:spacing w:after="200" w:before="160"/>
      </w:pPr>
      <w:r>
        <w:rPr>
          <w:sz w:val="2"/>
          <w:szCs w:val="2"/>
        </w:rPr>
        <w:t xml:space="preserve"/>
      </w:r>
    </w:p>
    <w:p>
      <w:pPr>
        <w:pStyle w:val="Heading1"/>
        <w:spacing w:after="160" w:before="240" w:line="259"/>
      </w:pPr>
      <w:r>
        <w:rPr>
          <w:rFonts w:ascii="Aptos" w:cs="Aptos" w:eastAsia="Aptos" w:hAnsi="Aptos"/>
          <w:b/>
          <w:bCs/>
          <w:color w:val="1F3864"/>
          <w:sz w:val="32"/>
          <w:szCs w:val="32"/>
        </w:rPr>
        <w:t xml:space="preserve">Hvad jeg har ændret i arket</w:t>
      </w:r>
    </w:p>
    <w:p>
      <w:pPr>
        <w:spacing w:after="140" w:line="259"/>
      </w:pPr>
      <w:r>
        <w:rPr>
          <w:rFonts w:ascii="Aptos" w:cs="Aptos" w:eastAsia="Aptos" w:hAnsi="Aptos"/>
          <w:sz w:val="20"/>
          <w:szCs w:val="20"/>
        </w:rPr>
        <w:t xml:space="preserve">Filen hedder nu </w:t>
      </w:r>
      <w:r>
        <w:rPr>
          <w:rFonts w:ascii="Consolas" w:cs="Consolas" w:eastAsia="Consolas" w:hAnsi="Consolas"/>
          <w:color w:val="A31515"/>
          <w:sz w:val="18"/>
          <w:szCs w:val="18"/>
        </w:rPr>
        <w:t xml:space="preserve">Japan_noegletal_OECD.xlsx</w:t>
      </w:r>
      <w:r>
        <w:rPr>
          <w:rFonts w:ascii="Aptos" w:cs="Aptos" w:eastAsia="Aptos" w:hAnsi="Aptos"/>
          <w:sz w:val="20"/>
          <w:szCs w:val="20"/>
        </w:rPr>
        <w:t xml:space="preserve"> og er bygget om til tre faner.</w:t>
      </w:r>
    </w:p>
    <w:p>
      <w:pPr>
        <w:pStyle w:val="Heading3"/>
        <w:spacing w:after="160" w:before="320" w:line="259"/>
      </w:pPr>
      <w:r>
        <w:rPr>
          <w:rFonts w:ascii="Aptos" w:cs="Aptos" w:eastAsia="Aptos" w:hAnsi="Aptos"/>
          <w:b/>
          <w:bCs/>
          <w:color w:val="000000"/>
          <w:sz w:val="22"/>
          <w:szCs w:val="22"/>
        </w:rPr>
        <w:t xml:space="preserve">Fanen Nøgletal</w:t>
      </w:r>
    </w:p>
    <w:p>
      <w:pPr>
        <w:pStyle w:val="ListParagraph"/>
        <w:numPr>
          <w:ilvl w:val="0"/>
          <w:numId w:val="1"/>
        </w:numPr>
        <w:spacing w:after="80" w:line="259"/>
      </w:pPr>
      <w:r>
        <w:rPr>
          <w:rFonts w:ascii="Aptos" w:cs="Aptos" w:eastAsia="Aptos" w:hAnsi="Aptos"/>
          <w:sz w:val="20"/>
          <w:szCs w:val="20"/>
        </w:rPr>
        <w:t xml:space="preserve">Titel, kildeblok og notelinje øverst — med tomme felter til 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årgang og link</w:t>
      </w:r>
      <w:r>
        <w:rPr>
          <w:rFonts w:ascii="Aptos" w:cs="Aptos" w:eastAsia="Aptos" w:hAnsi="Aptos"/>
          <w:sz w:val="20"/>
          <w:szCs w:val="20"/>
        </w:rPr>
        <w:t xml:space="preserve">,</w:t>
      </w:r>
    </w:p>
    <w:p>
      <w:pPr>
        <w:spacing w:after="140" w:line="259"/>
      </w:pPr>
      <w:r>
        <w:rPr>
          <w:rFonts w:ascii="Aptos" w:cs="Aptos" w:eastAsia="Aptos" w:hAnsi="Aptos"/>
          <w:sz w:val="20"/>
          <w:szCs w:val="20"/>
        </w:rPr>
        <w:t xml:space="preserve">som I selv skal udfylde. Uden dem kan censor ikke genfinde tallene.</w:t>
      </w:r>
    </w:p>
    <w:p>
      <w:pPr>
        <w:pStyle w:val="ListParagraph"/>
        <w:numPr>
          <w:ilvl w:val="0"/>
          <w:numId w:val="1"/>
        </w:numPr>
        <w:spacing w:after="80" w:line="259"/>
      </w:pPr>
      <w:r>
        <w:rPr>
          <w:rFonts w:ascii="Aptos" w:cs="Aptos" w:eastAsia="Aptos" w:hAnsi="Aptos"/>
          <w:sz w:val="20"/>
          <w:szCs w:val="20"/>
        </w:rPr>
        <w:t xml:space="preserve">Enhed på hver eneste række i højre kolonne, jf. lærebogens tommelfingerregler.</w:t>
      </w:r>
    </w:p>
    <w:p>
      <w:pPr>
        <w:pStyle w:val="ListParagraph"/>
        <w:numPr>
          <w:ilvl w:val="0"/>
          <w:numId w:val="1"/>
        </w:numPr>
        <w:spacing w:after="80" w:line="259"/>
      </w:pPr>
      <w:r>
        <w:rPr>
          <w:rFonts w:ascii="Aptos" w:cs="Aptos" w:eastAsia="Aptos" w:hAnsi="Aptos"/>
          <w:sz w:val="20"/>
          <w:szCs w:val="20"/>
        </w:rPr>
        <w:t xml:space="preserve">Årstal udvidet med 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2026</w:t>
      </w:r>
      <w:r>
        <w:rPr>
          <w:rFonts w:ascii="Aptos" w:cs="Aptos" w:eastAsia="Aptos" w:hAnsi="Aptos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259"/>
      </w:pPr>
      <w:r>
        <w:rPr>
          <w:rFonts w:ascii="Aptos" w:cs="Aptos" w:eastAsia="Aptos" w:hAnsi="Aptos"/>
          <w:b/>
          <w:bCs/>
          <w:sz w:val="20"/>
          <w:szCs w:val="20"/>
        </w:rPr>
        <w:t xml:space="preserve">Orange celler = 2024 og 2025.</w:t>
      </w:r>
      <w:r>
        <w:rPr>
          <w:rFonts w:ascii="Aptos" w:cs="Aptos" w:eastAsia="Aptos" w:hAnsi="Aptos"/>
          <w:sz w:val="20"/>
          <w:szCs w:val="20"/>
        </w:rPr>
        <w:t xml:space="preserve"> Det er de gamle prognosetal. De er ikke</w:t>
      </w:r>
    </w:p>
    <w:p>
      <w:pPr>
        <w:spacing w:after="140" w:line="259"/>
      </w:pPr>
      <w:r>
        <w:rPr>
          <w:rFonts w:ascii="Aptos" w:cs="Aptos" w:eastAsia="Aptos" w:hAnsi="Aptos"/>
          <w:sz w:val="20"/>
          <w:szCs w:val="20"/>
        </w:rPr>
        <w:t xml:space="preserve">slettet — I kan se, hvad der stod — men de er markeret, så de ikke bliver brugt som facit ved en fejl.</w:t>
      </w:r>
    </w:p>
    <w:p>
      <w:pPr>
        <w:pStyle w:val="ListParagraph"/>
        <w:numPr>
          <w:ilvl w:val="0"/>
          <w:numId w:val="1"/>
        </w:numPr>
        <w:spacing w:after="80" w:line="259"/>
      </w:pPr>
      <w:r>
        <w:rPr>
          <w:rFonts w:ascii="Aptos" w:cs="Aptos" w:eastAsia="Aptos" w:hAnsi="Aptos"/>
          <w:b/>
          <w:bCs/>
          <w:sz w:val="20"/>
          <w:szCs w:val="20"/>
        </w:rPr>
        <w:t xml:space="preserve">Gule celler = tomme felter, der skal udfyldes.</w:t>
      </w:r>
      <w:r>
        <w:rPr>
          <w:rFonts w:ascii="Aptos" w:cs="Aptos" w:eastAsia="Aptos" w:hAnsi="Aptos"/>
          <w:sz w:val="20"/>
          <w:szCs w:val="20"/>
        </w:rPr>
        <w:t xml:space="preserve"> Kilden står i notekolonnen.</w:t>
      </w:r>
    </w:p>
    <w:p>
      <w:pPr>
        <w:pStyle w:val="ListParagraph"/>
        <w:numPr>
          <w:ilvl w:val="0"/>
          <w:numId w:val="1"/>
        </w:numPr>
        <w:spacing w:after="80" w:line="259"/>
      </w:pPr>
      <w:r>
        <w:rPr>
          <w:rFonts w:ascii="Aptos" w:cs="Aptos" w:eastAsia="Aptos" w:hAnsi="Aptos"/>
          <w:sz w:val="20"/>
          <w:szCs w:val="20"/>
        </w:rPr>
        <w:t xml:space="preserve">Nyt afsnit 4 med rækker til løn, valutakurs, rente og demografi.</w:t>
      </w:r>
    </w:p>
    <w:p>
      <w:pPr>
        <w:pStyle w:val="Heading3"/>
        <w:spacing w:after="160" w:before="320" w:line="259"/>
      </w:pPr>
      <w:r>
        <w:rPr>
          <w:rFonts w:ascii="Aptos" w:cs="Aptos" w:eastAsia="Aptos" w:hAnsi="Aptos"/>
          <w:b/>
          <w:bCs/>
          <w:color w:val="000000"/>
          <w:sz w:val="22"/>
          <w:szCs w:val="22"/>
        </w:rPr>
        <w:t xml:space="preserve">Fanen Vækstbidrag — ny</w:t>
      </w:r>
    </w:p>
    <w:p>
      <w:pPr>
        <w:spacing w:after="140" w:line="259"/>
      </w:pPr>
      <w:r>
        <w:rPr>
          <w:rFonts w:ascii="Aptos" w:cs="Aptos" w:eastAsia="Aptos" w:hAnsi="Aptos"/>
          <w:sz w:val="20"/>
          <w:szCs w:val="20"/>
        </w:rPr>
        <w:t xml:space="preserve">Konsistenstjekket er nu bygget ind som levende formler. Retter I et tal i </w:t>
      </w:r>
      <w:r>
        <w:rPr>
          <w:rFonts w:ascii="Consolas" w:cs="Consolas" w:eastAsia="Consolas" w:hAnsi="Consolas"/>
          <w:color w:val="A31515"/>
          <w:sz w:val="18"/>
          <w:szCs w:val="18"/>
        </w:rPr>
        <w:t xml:space="preserve">Nøgletal</w:t>
      </w:r>
      <w:r>
        <w:rPr>
          <w:rFonts w:ascii="Aptos" w:cs="Aptos" w:eastAsia="Aptos" w:hAnsi="Aptos"/>
          <w:sz w:val="20"/>
          <w:szCs w:val="20"/>
        </w:rPr>
        <w:t xml:space="preserve">, opdaterer bidragene, summen og kontrollen sig automatisk, og kontrolrækken lyser grønt (OK) eller rødt (TJEK).</w:t>
      </w:r>
    </w:p>
    <w:p>
      <w:pPr>
        <w:spacing w:after="140" w:line="259"/>
      </w:pPr>
      <w:r>
        <w:rPr>
          <w:rFonts w:ascii="Aptos" w:cs="Aptos" w:eastAsia="Aptos" w:hAnsi="Aptos"/>
          <w:sz w:val="20"/>
          <w:szCs w:val="20"/>
        </w:rPr>
        <w:t xml:space="preserve">Fanen beregner også nominel BNP-vækst og ændringen i gældskvoten side om side — det er kæde D — og den afledte reale disponible indkomst, som er belægget for reallønsfaldet i kæde B.</w:t>
      </w:r>
    </w:p>
    <w:p>
      <w:pPr>
        <w:spacing w:after="140" w:line="259"/>
      </w:pPr>
      <w:r>
        <w:rPr>
          <w:rFonts w:ascii="Aptos" w:cs="Aptos" w:eastAsia="Aptos" w:hAnsi="Aptos"/>
          <w:b/>
          <w:bCs/>
          <w:sz w:val="20"/>
          <w:szCs w:val="20"/>
        </w:rPr>
        <w:t xml:space="preserve">Det betyder, at I har et automatisk alarmsystem:</w:t>
      </w:r>
      <w:r>
        <w:rPr>
          <w:rFonts w:ascii="Aptos" w:cs="Aptos" w:eastAsia="Aptos" w:hAnsi="Aptos"/>
          <w:sz w:val="20"/>
          <w:szCs w:val="20"/>
        </w:rPr>
        <w:t xml:space="preserve"> hvis I kommer til at hente tal fra to forskellige årgange, holder regnestykket op med at gå op, og kontrolrækken skifter til TJEK.</w:t>
      </w:r>
    </w:p>
    <w:p>
      <w:pPr>
        <w:pStyle w:val="Heading3"/>
        <w:spacing w:after="160" w:before="320" w:line="259"/>
      </w:pPr>
      <w:r>
        <w:rPr>
          <w:rFonts w:ascii="Aptos" w:cs="Aptos" w:eastAsia="Aptos" w:hAnsi="Aptos"/>
          <w:b/>
          <w:bCs/>
          <w:color w:val="000000"/>
          <w:sz w:val="22"/>
          <w:szCs w:val="22"/>
        </w:rPr>
        <w:t xml:space="preserve">Fanen Kildekritik — ny</w:t>
      </w:r>
    </w:p>
    <w:p>
      <w:pPr>
        <w:spacing w:after="140" w:line="259"/>
      </w:pPr>
      <w:r>
        <w:rPr>
          <w:rFonts w:ascii="Aptos" w:cs="Aptos" w:eastAsia="Aptos" w:hAnsi="Aptos"/>
          <w:sz w:val="20"/>
          <w:szCs w:val="20"/>
        </w:rPr>
        <w:t xml:space="preserve">Præcis navigation til hver manglende talserie, fem konkrete kildekritiske forbehold til metodeafsnittet, og de tal, jeg fandt ved søgning — tydeligt markeret som 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ikke verificerede</w:t>
      </w:r>
      <w:r>
        <w:rPr>
          <w:rFonts w:ascii="Aptos" w:cs="Aptos" w:eastAsia="Aptos" w:hAnsi="Aptos"/>
          <w:sz w:val="20"/>
          <w:szCs w:val="20"/>
        </w:rPr>
        <w:t xml:space="preserve">.</w:t>
      </w:r>
    </w:p>
    <w:p>
      <w:pPr>
        <w:pBdr>
          <w:bottom w:val="single" w:color="D0D0D0" w:sz="6" w:space="1"/>
        </w:pBdr>
        <w:spacing w:after="200" w:before="160"/>
      </w:pPr>
      <w:r>
        <w:rPr>
          <w:sz w:val="2"/>
          <w:szCs w:val="2"/>
        </w:rPr>
        <w:t xml:space="preserve"/>
      </w:r>
    </w:p>
    <w:p>
      <w:pPr>
        <w:pStyle w:val="Heading1"/>
        <w:spacing w:after="160" w:before="240" w:line="259"/>
      </w:pPr>
      <w:r>
        <w:rPr>
          <w:rFonts w:ascii="Aptos" w:cs="Aptos" w:eastAsia="Aptos" w:hAnsi="Aptos"/>
          <w:b/>
          <w:bCs/>
          <w:color w:val="1F3864"/>
          <w:sz w:val="32"/>
          <w:szCs w:val="32"/>
        </w:rPr>
        <w:t xml:space="preserve">Det jeg ikke kunne gøre — og hvorfor</w:t>
      </w:r>
    </w:p>
    <w:p>
      <w:pPr>
        <w:spacing w:after="140" w:line="259"/>
      </w:pPr>
      <w:r>
        <w:rPr>
          <w:rFonts w:ascii="Aptos" w:cs="Aptos" w:eastAsia="Aptos" w:hAnsi="Aptos"/>
          <w:b/>
          <w:bCs/>
          <w:sz w:val="20"/>
          <w:szCs w:val="20"/>
        </w:rPr>
        <w:t xml:space="preserve">Jeg kunne ikke hente de rigtige 2024- og 2025-tal.</w:t>
      </w:r>
      <w:r>
        <w:rPr>
          <w:rFonts w:ascii="Aptos" w:cs="Aptos" w:eastAsia="Aptos" w:hAnsi="Aptos"/>
          <w:sz w:val="20"/>
          <w:szCs w:val="20"/>
        </w:rPr>
        <w:t xml:space="preserve"> Miljøet her blokerer for oecd.org, imf.org, worldbank.org, boj.or.jp og stat.go.jp — alle statistikkilderne. Jeg kunne kun søge, ikke åbne siderne.</w:t>
      </w:r>
    </w:p>
    <w:p>
      <w:pPr>
        <w:spacing w:after="140" w:line="259"/>
      </w:pPr>
      <w:r>
        <w:rPr>
          <w:rFonts w:ascii="Aptos" w:cs="Aptos" w:eastAsia="Aptos" w:hAnsi="Aptos"/>
          <w:sz w:val="20"/>
          <w:szCs w:val="20"/>
        </w:rPr>
        <w:t xml:space="preserve">Og jeg vil ikke fylde tal i jeres ark, som jeg har samlet fra søgeresultater. Grunden er den samme, som gør arket godt i dag: 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det hænger sammen, fordi alle tal kommer fra én tabel.</w:t>
      </w:r>
      <w:r>
        <w:rPr>
          <w:rFonts w:ascii="Aptos" w:cs="Aptos" w:eastAsia="Aptos" w:hAnsi="Aptos"/>
          <w:sz w:val="20"/>
          <w:szCs w:val="20"/>
        </w:rPr>
        <w:t xml:space="preserve"> Hvis jeg havde hentet BNP-væksten ét sted, investeringerne et andet og eksporten et tredje, ville summen af vækstbidragene holde op med at ramme BNP-væksten — og så havde jeg ødelagt netop den egenskab, jeg roste arket for.</w:t>
      </w:r>
    </w:p>
    <w:p>
      <w:pPr>
        <w:pStyle w:val="Heading2"/>
        <w:spacing w:after="160" w:before="320" w:line="259"/>
      </w:pPr>
      <w:r>
        <w:rPr>
          <w:rFonts w:ascii="Aptos" w:cs="Aptos" w:eastAsia="Aptos" w:hAnsi="Aptos"/>
          <w:b/>
          <w:bCs/>
          <w:color w:val="000000"/>
          <w:sz w:val="26"/>
          <w:szCs w:val="26"/>
        </w:rPr>
        <w:t xml:space="preserve">Til gengæld fandt søgningen noget, I skal bruge</w:t>
      </w:r>
    </w:p>
    <w:p>
      <w:pPr>
        <w:spacing w:after="140" w:line="259"/>
      </w:pPr>
      <w:r>
        <w:rPr>
          <w:rFonts w:ascii="Aptos" w:cs="Aptos" w:eastAsia="Aptos" w:hAnsi="Aptos"/>
          <w:sz w:val="20"/>
          <w:szCs w:val="20"/>
        </w:rPr>
        <w:t xml:space="preserve">Jeg fandt følgende tal for Japans offentlige finanser i 2024: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4"/>
      </w:tblGrid>
      <w:tr>
        <w:trPr>
          <w:tblHeader/>
        </w:trPr>
        <w:tc>
          <w:tcPr>
            <w:tcW w:type="dxa" w:w="3023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/>
            </w:r>
          </w:p>
        </w:tc>
        <w:tc>
          <w:tcPr>
            <w:tcW w:type="dxa" w:w="3023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IMF</w:t>
            </w:r>
          </w:p>
        </w:tc>
        <w:tc>
          <w:tcPr>
            <w:tcW w:type="dxa" w:w="3024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OECD (jeres ark)</w:t>
            </w:r>
          </w:p>
        </w:tc>
      </w:tr>
      <w:tr>
        <w:trPr>
          <w:tblHeader w:val="false"/>
        </w:trPr>
        <w:tc>
          <w:tcPr>
            <w:tcW w:type="dxa" w:w="30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Offentlig gæld</w:t>
            </w:r>
          </w:p>
        </w:tc>
        <w:tc>
          <w:tcPr>
            <w:tcW w:type="dxa" w:w="30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ca. </w:t>
            </w: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237</w:t>
            </w:r>
            <w:r>
              <w:rPr>
                <w:rFonts w:ascii="Aptos" w:cs="Aptos" w:eastAsia="Aptos" w:hAnsi="Aptos"/>
                <w:sz w:val="20"/>
                <w:szCs w:val="20"/>
              </w:rPr>
              <w:t xml:space="preserve"> pct. af BNP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ca. </w:t>
            </w: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245</w:t>
            </w:r>
            <w:r>
              <w:rPr>
                <w:rFonts w:ascii="Aptos" w:cs="Aptos" w:eastAsia="Aptos" w:hAnsi="Aptos"/>
                <w:sz w:val="20"/>
                <w:szCs w:val="20"/>
              </w:rPr>
              <w:t xml:space="preserve"> pct. af BNP</w:t>
            </w:r>
          </w:p>
        </w:tc>
      </w:tr>
      <w:tr>
        <w:trPr>
          <w:tblHeader w:val="false"/>
        </w:trPr>
        <w:tc>
          <w:tcPr>
            <w:tcW w:type="dxa" w:w="30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Offentligt underskud</w:t>
            </w:r>
          </w:p>
        </w:tc>
        <w:tc>
          <w:tcPr>
            <w:tcW w:type="dxa" w:w="30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ca. </w:t>
            </w: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2,5</w:t>
            </w:r>
            <w:r>
              <w:rPr>
                <w:rFonts w:ascii="Aptos" w:cs="Aptos" w:eastAsia="Aptos" w:hAnsi="Aptos"/>
                <w:sz w:val="20"/>
                <w:szCs w:val="20"/>
              </w:rPr>
              <w:t xml:space="preserve"> pct. af BNP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ca. </w:t>
            </w: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4,4</w:t>
            </w:r>
            <w:r>
              <w:rPr>
                <w:rFonts w:ascii="Aptos" w:cs="Aptos" w:eastAsia="Aptos" w:hAnsi="Aptos"/>
                <w:sz w:val="20"/>
                <w:szCs w:val="20"/>
              </w:rPr>
              <w:t xml:space="preserve"> pct. af BNP</w:t>
            </w:r>
          </w:p>
        </w:tc>
      </w:tr>
    </w:tbl>
    <w:p>
      <w:pPr>
        <w:spacing w:after="160"/>
      </w:pPr>
      <w:r>
        <w:rPr>
          <w:sz w:val="10"/>
          <w:szCs w:val="10"/>
        </w:rPr>
        <w:t xml:space="preserve"/>
      </w:r>
    </w:p>
    <w:p>
      <w:pPr>
        <w:spacing w:after="140" w:line="259"/>
      </w:pPr>
      <w:r>
        <w:rPr>
          <w:rFonts w:ascii="Aptos" w:cs="Aptos" w:eastAsia="Aptos" w:hAnsi="Aptos"/>
          <w:sz w:val="20"/>
          <w:szCs w:val="20"/>
        </w:rPr>
        <w:t xml:space="preserve">Underskuddet er altså næsten 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dobbelt så stort</w:t>
      </w:r>
      <w:r>
        <w:rPr>
          <w:rFonts w:ascii="Aptos" w:cs="Aptos" w:eastAsia="Aptos" w:hAnsi="Aptos"/>
          <w:sz w:val="20"/>
          <w:szCs w:val="20"/>
        </w:rPr>
        <w:t xml:space="preserve"> i den ene opgørelse som i den anden. Begge er korrekte — de måler bare ikke det samme. Brutto- kontra nettogæld, og forskellige afgrænsninger af, hvad "den offentlige sektor" er.</w:t>
      </w:r>
    </w:p>
    <w:p>
      <w:pPr>
        <w:spacing w:after="140" w:line="259"/>
      </w:pPr>
      <w:r>
        <w:rPr>
          <w:rFonts w:ascii="Aptos" w:cs="Aptos" w:eastAsia="Aptos" w:hAnsi="Aptos"/>
          <w:b/>
          <w:bCs/>
          <w:sz w:val="20"/>
          <w:szCs w:val="20"/>
        </w:rPr>
        <w:t xml:space="preserve">Det er guld værd til jeres metodeafsnit.</w:t>
      </w:r>
      <w:r>
        <w:rPr>
          <w:rFonts w:ascii="Aptos" w:cs="Aptos" w:eastAsia="Aptos" w:hAnsi="Aptos"/>
          <w:sz w:val="20"/>
          <w:szCs w:val="20"/>
        </w:rPr>
        <w:t xml:space="preserve"> Vejledningen kræver, at I forholder jer kildekritisk, og eksempel 1 i </w:t>
      </w:r>
      <w:r>
        <w:rPr>
          <w:rFonts w:ascii="Consolas" w:cs="Consolas" w:eastAsia="Consolas" w:hAnsi="Consolas"/>
          <w:color w:val="A31515"/>
          <w:sz w:val="18"/>
          <w:szCs w:val="18"/>
        </w:rPr>
        <w:t xml:space="preserve">Metode_eksempler.docx</w:t>
      </w:r>
      <w:r>
        <w:rPr>
          <w:rFonts w:ascii="Aptos" w:cs="Aptos" w:eastAsia="Aptos" w:hAnsi="Aptos"/>
          <w:sz w:val="20"/>
          <w:szCs w:val="20"/>
        </w:rPr>
        <w:t xml:space="preserve"> nævner netop, at nøgletal kan variere mellem kilder. Her har I et konkret, dokumenteret tilfælde fra jeres eget land — ikke en generisk sætning om, at man skal være kritisk.</w:t>
      </w:r>
    </w:p>
    <w:p>
      <w:pPr>
        <w:spacing w:after="140" w:line="259"/>
      </w:pPr>
      <w:r>
        <w:rPr>
          <w:rFonts w:ascii="Aptos" w:cs="Aptos" w:eastAsia="Aptos" w:hAnsi="Aptos"/>
          <w:sz w:val="20"/>
          <w:szCs w:val="20"/>
        </w:rPr>
        <w:t xml:space="preserve">Det er også et argument til diskussionen: bruttogælden på 245 pct. overdriver problemet, fordi staten selv ejer store finansielle aktiver, og Bank of Japan ejer en meget stor del af statsobligationerne.</w:t>
      </w:r>
    </w:p>
    <w:p>
      <w:pPr>
        <w:pBdr>
          <w:bottom w:val="single" w:color="D0D0D0" w:sz="6" w:space="1"/>
        </w:pBdr>
        <w:spacing w:after="200" w:before="160"/>
      </w:pPr>
      <w:r>
        <w:rPr>
          <w:sz w:val="2"/>
          <w:szCs w:val="2"/>
        </w:rPr>
        <w:t xml:space="preserve"/>
      </w:r>
    </w:p>
    <w:p>
      <w:pPr>
        <w:pStyle w:val="Heading1"/>
        <w:spacing w:after="160" w:before="240" w:line="259"/>
      </w:pPr>
      <w:r>
        <w:rPr>
          <w:rFonts w:ascii="Aptos" w:cs="Aptos" w:eastAsia="Aptos" w:hAnsi="Aptos"/>
          <w:b/>
          <w:bCs/>
          <w:color w:val="1F3864"/>
          <w:sz w:val="32"/>
          <w:szCs w:val="32"/>
        </w:rPr>
        <w:t xml:space="preserve">Hvad du selv skal hente — 20 minutter</w:t>
      </w:r>
    </w:p>
    <w:p>
      <w:pPr>
        <w:spacing w:after="140" w:line="259"/>
      </w:pPr>
      <w:r>
        <w:rPr>
          <w:rFonts w:ascii="Aptos" w:cs="Aptos" w:eastAsia="Aptos" w:hAnsi="Aptos"/>
          <w:sz w:val="20"/>
          <w:szCs w:val="20"/>
        </w:rPr>
        <w:t xml:space="preserve">Alt står i fanen </w:t>
      </w:r>
      <w:r>
        <w:rPr>
          <w:rFonts w:ascii="Consolas" w:cs="Consolas" w:eastAsia="Consolas" w:hAnsi="Consolas"/>
          <w:color w:val="A31515"/>
          <w:sz w:val="18"/>
          <w:szCs w:val="18"/>
        </w:rPr>
        <w:t xml:space="preserve">Kildekritik</w:t>
      </w:r>
      <w:r>
        <w:rPr>
          <w:rFonts w:ascii="Aptos" w:cs="Aptos" w:eastAsia="Aptos" w:hAnsi="Aptos"/>
          <w:sz w:val="20"/>
          <w:szCs w:val="20"/>
        </w:rPr>
        <w:t xml:space="preserve"> med klikvej. Det vigtigste først: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rFonts w:ascii="Aptos" w:cs="Aptos" w:eastAsia="Aptos" w:hAnsi="Aptos"/>
          <w:b/>
          <w:bCs/>
          <w:sz w:val="20"/>
          <w:szCs w:val="20"/>
        </w:rPr>
        <w:t xml:space="preserve">Hele forsyningsbalancen for 2024, 2025 og 2026</w:t>
      </w:r>
      <w:r>
        <w:rPr>
          <w:rFonts w:ascii="Aptos" w:cs="Aptos" w:eastAsia="Aptos" w:hAnsi="Aptos"/>
          <w:sz w:val="20"/>
          <w:szCs w:val="20"/>
        </w:rPr>
        <w:t xml:space="preserve"> fra den nyeste OECD</w:t>
      </w:r>
    </w:p>
    <w:p>
      <w:pPr>
        <w:spacing w:after="140" w:line="259"/>
      </w:pPr>
      <w:r>
        <w:rPr>
          <w:rFonts w:ascii="Aptos" w:cs="Aptos" w:eastAsia="Aptos" w:hAnsi="Aptos"/>
          <w:sz w:val="20"/>
          <w:szCs w:val="20"/>
        </w:rPr>
        <w:t xml:space="preserve">Economic Outlook. Tag alle rækker fra 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samme tabel</w:t>
      </w:r>
      <w:r>
        <w:rPr>
          <w:rFonts w:ascii="Aptos" w:cs="Aptos" w:eastAsia="Aptos" w:hAnsi="Aptos"/>
          <w:sz w:val="20"/>
          <w:szCs w:val="20"/>
        </w:rPr>
        <w:t xml:space="preserve"> — det er hele pointen. Landekapitlet for Japan hedder "Japan: Demand, output and prices".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rFonts w:ascii="Aptos" w:cs="Aptos" w:eastAsia="Aptos" w:hAnsi="Aptos"/>
          <w:b/>
          <w:bCs/>
          <w:sz w:val="20"/>
          <w:szCs w:val="20"/>
        </w:rPr>
        <w:t xml:space="preserve">10-årig statsobligationsrente</w:t>
      </w:r>
      <w:r>
        <w:rPr>
          <w:rFonts w:ascii="Aptos" w:cs="Aptos" w:eastAsia="Aptos" w:hAnsi="Aptos"/>
          <w:sz w:val="20"/>
          <w:szCs w:val="20"/>
        </w:rPr>
        <w:t xml:space="preserve"> — bærer hele gældsdiskussionen.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rFonts w:ascii="Aptos" w:cs="Aptos" w:eastAsia="Aptos" w:hAnsi="Aptos"/>
          <w:b/>
          <w:bCs/>
          <w:sz w:val="20"/>
          <w:szCs w:val="20"/>
        </w:rPr>
        <w:t xml:space="preserve">Nominel løn og realløn</w:t>
      </w:r>
      <w:r>
        <w:rPr>
          <w:rFonts w:ascii="Aptos" w:cs="Aptos" w:eastAsia="Aptos" w:hAnsi="Aptos"/>
          <w:sz w:val="20"/>
          <w:szCs w:val="20"/>
        </w:rPr>
        <w:t xml:space="preserve"> — så I kan dokumentere reallønsfaldet direkte i</w:t>
      </w:r>
    </w:p>
    <w:p>
      <w:pPr>
        <w:spacing w:after="140" w:line="259"/>
      </w:pPr>
      <w:r>
        <w:rPr>
          <w:rFonts w:ascii="Aptos" w:cs="Aptos" w:eastAsia="Aptos" w:hAnsi="Aptos"/>
          <w:sz w:val="20"/>
          <w:szCs w:val="20"/>
        </w:rPr>
        <w:t xml:space="preserve">stedet for at aflede det.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rFonts w:ascii="Aptos" w:cs="Aptos" w:eastAsia="Aptos" w:hAnsi="Aptos"/>
          <w:b/>
          <w:bCs/>
          <w:sz w:val="20"/>
          <w:szCs w:val="20"/>
        </w:rPr>
        <w:t xml:space="preserve">Effektiv valutakurs</w:t>
      </w:r>
      <w:r>
        <w:rPr>
          <w:rFonts w:ascii="Aptos" w:cs="Aptos" w:eastAsia="Aptos" w:hAnsi="Aptos"/>
          <w:sz w:val="20"/>
          <w:szCs w:val="20"/>
        </w:rPr>
        <w:t xml:space="preserve"> fra Bank of Japan.</w:t>
      </w:r>
    </w:p>
    <w:p>
      <w:pPr>
        <w:spacing w:after="140" w:line="259"/>
      </w:pPr>
      <w:r>
        <w:rPr>
          <w:rFonts w:ascii="Aptos" w:cs="Aptos" w:eastAsia="Aptos" w:hAnsi="Aptos"/>
          <w:sz w:val="20"/>
          <w:szCs w:val="20"/>
        </w:rPr>
        <w:t xml:space="preserve">Når afsnit 1-3 er udfyldt fra én årgang, skal kontrolrækken i fanen </w:t>
      </w:r>
      <w:r>
        <w:rPr>
          <w:rFonts w:ascii="Consolas" w:cs="Consolas" w:eastAsia="Consolas" w:hAnsi="Consolas"/>
          <w:color w:val="A31515"/>
          <w:sz w:val="18"/>
          <w:szCs w:val="18"/>
        </w:rPr>
        <w:t xml:space="preserve">Vækstbidrag</w:t>
      </w:r>
      <w:r>
        <w:rPr>
          <w:rFonts w:ascii="Aptos" w:cs="Aptos" w:eastAsia="Aptos" w:hAnsi="Aptos"/>
          <w:sz w:val="20"/>
          <w:szCs w:val="20"/>
        </w:rPr>
        <w:t xml:space="preserve"> stå grøn hele vejen. Gør den ikke det, er der blandet kilder.</w:t>
      </w:r>
    </w:p>
    <w:p>
      <w:pPr>
        <w:pStyle w:val="Heading2"/>
        <w:spacing w:after="160" w:before="320" w:line="259"/>
      </w:pPr>
      <w:r>
        <w:rPr>
          <w:rFonts w:ascii="Aptos" w:cs="Aptos" w:eastAsia="Aptos" w:hAnsi="Aptos"/>
          <w:b/>
          <w:bCs/>
          <w:color w:val="000000"/>
          <w:sz w:val="26"/>
          <w:szCs w:val="26"/>
        </w:rPr>
        <w:t xml:space="preserve">Det jeg fik indsat — men som skal verificeres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4"/>
      </w:tblGrid>
      <w:tr>
        <w:trPr>
          <w:tblHeader/>
        </w:trPr>
        <w:tc>
          <w:tcPr>
            <w:tcW w:type="dxa" w:w="3023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Række</w:t>
            </w:r>
          </w:p>
        </w:tc>
        <w:tc>
          <w:tcPr>
            <w:tcW w:type="dxa" w:w="3023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Hvad</w:t>
            </w:r>
          </w:p>
        </w:tc>
        <w:tc>
          <w:tcPr>
            <w:tcW w:type="dxa" w:w="3024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Kilde</w:t>
            </w:r>
          </w:p>
        </w:tc>
      </w:tr>
      <w:tr>
        <w:trPr>
          <w:tblHeader w:val="false"/>
        </w:trPr>
        <w:tc>
          <w:tcPr>
            <w:tcW w:type="dxa" w:w="30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35</w:t>
            </w:r>
          </w:p>
        </w:tc>
        <w:tc>
          <w:tcPr>
            <w:tcW w:type="dxa" w:w="30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Valutakurs JPY/USD 2021-2025: 109,8 · 131,5 · 140,5 · 151,5 · 149,6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FRED, serie AEXJPUS</w:t>
            </w:r>
          </w:p>
        </w:tc>
      </w:tr>
      <w:tr>
        <w:trPr>
          <w:tblHeader w:val="false"/>
        </w:trPr>
        <w:tc>
          <w:tcPr>
            <w:tcW w:type="dxa" w:w="30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42</w:t>
            </w:r>
          </w:p>
        </w:tc>
        <w:tc>
          <w:tcPr>
            <w:tcW w:type="dxa" w:w="30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Shunto-lønstigninger 2024 og 2025: ca. 5,1 og 5,3 pct.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Rengo</w:t>
            </w:r>
          </w:p>
        </w:tc>
      </w:tr>
      <w:tr>
        <w:trPr>
          <w:tblHeader w:val="false"/>
        </w:trPr>
        <w:tc>
          <w:tcPr>
            <w:tcW w:type="dxa" w:w="30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45</w:t>
            </w:r>
          </w:p>
        </w:tc>
        <w:tc>
          <w:tcPr>
            <w:tcW w:type="dxa" w:w="30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BoJ's styringsrente: −0,10 pct. 2020-2023, 0,25 pct. ultimo 2024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Bank of Japan</w:t>
            </w:r>
          </w:p>
        </w:tc>
      </w:tr>
    </w:tbl>
    <w:p>
      <w:pPr>
        <w:spacing w:after="160"/>
      </w:pPr>
      <w:r>
        <w:rPr>
          <w:sz w:val="10"/>
          <w:szCs w:val="10"/>
        </w:rPr>
        <w:t xml:space="preserve"/>
      </w:r>
    </w:p>
    <w:p>
      <w:pPr>
        <w:spacing w:after="140" w:line="259"/>
      </w:pPr>
      <w:r>
        <w:rPr>
          <w:rFonts w:ascii="Aptos" w:cs="Aptos" w:eastAsia="Aptos" w:hAnsi="Aptos"/>
          <w:sz w:val="20"/>
          <w:szCs w:val="20"/>
        </w:rPr>
        <w:t xml:space="preserve">Valutakursrækken er værd at bemærke med det samme: 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yennen svækkedes fra ca. 110 til ca. 151 yen pr. dollar fra 2021 til 2024 — omkring 27 pct.</w:t>
      </w:r>
      <w:r>
        <w:rPr>
          <w:rFonts w:ascii="Aptos" w:cs="Aptos" w:eastAsia="Aptos" w:hAnsi="Aptos"/>
          <w:sz w:val="20"/>
          <w:szCs w:val="20"/>
        </w:rPr>
        <w:t xml:space="preserve"> Det er selve motoren i kæde B og hele forudsætningen for problemstillingen.</w:t>
      </w:r>
    </w:p>
    <w:sectPr>
      <w:footerReference w:type="default" r:id="rId7"/>
      <w:pgSz w:w="11906" w:h="16838" w:orient="portrait"/>
      <w:pgMar w:top="1247" w:right="1417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Aptos" w:hAnsi="Aptos"/>
        <w:color w:val="808080"/>
        <w:sz w:val="16"/>
        <w:szCs w:val="16"/>
      </w:rPr>
      <w:t xml:space="preserve">Datatjek af regnearket   ·   side </w:t>
    </w:r>
    <w:r>
      <w:rPr>
        <w:rFonts w:ascii="Aptos" w:cs="Aptos" w:eastAsia="Aptos" w:hAnsi="Aptos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2026-09-05T17:18:59.913Z</dcterms:created>
  <dcterms:modified xsi:type="dcterms:W3CDTF">2026-09-05T17:18:59.914Z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