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60" w:before="240" w:line="259"/>
      </w:pPr>
      <w:r>
        <w:rPr>
          <w:rFonts w:ascii="Aptos" w:cs="Aptos" w:eastAsia="Aptos" w:hAnsi="Aptos"/>
          <w:b/>
          <w:bCs/>
          <w:color w:val="1F3864"/>
          <w:sz w:val="32"/>
          <w:szCs w:val="32"/>
        </w:rPr>
        <w:t xml:space="preserve">Problemstilling og problemformulering</w:t>
      </w:r>
    </w:p>
    <w:p>
      <w:pPr>
        <w:spacing w:after="140" w:line="259"/>
      </w:pPr>
      <w:r>
        <w:rPr>
          <w:rFonts w:ascii="Aptos" w:cs="Aptos" w:eastAsia="Aptos" w:hAnsi="Aptos"/>
          <w:sz w:val="20"/>
          <w:szCs w:val="20"/>
        </w:rPr>
        <w:t xml:space="preserve">Vejledningen stiller tre krav, som vi skal ramme:</w:t>
      </w:r>
    </w:p>
    <w:p>
      <w:pPr>
        <w:pStyle w:val="ListParagraph"/>
        <w:numPr>
          <w:ilvl w:val="0"/>
          <w:numId w:val="1"/>
        </w:numPr>
        <w:spacing w:after="80" w:line="259"/>
      </w:pPr>
      <w:r>
        <w:rPr>
          <w:rFonts w:ascii="Aptos" w:cs="Aptos" w:eastAsia="Aptos" w:hAnsi="Aptos"/>
          <w:sz w:val="20"/>
          <w:szCs w:val="20"/>
        </w:rPr>
        <w:t xml:space="preserve">Problemstillingen er </w:t>
      </w:r>
      <w:r>
        <w:rPr>
          <w:rFonts w:ascii="Aptos" w:cs="Aptos" w:eastAsia="Aptos" w:hAnsi="Aptos"/>
          <w:b/>
          <w:bCs/>
          <w:sz w:val="20"/>
          <w:szCs w:val="20"/>
        </w:rPr>
        <w:t xml:space="preserve">ét hv-spørgsmål</w:t>
      </w:r>
      <w:r>
        <w:rPr>
          <w:rFonts w:ascii="Aptos" w:cs="Aptos" w:eastAsia="Aptos" w:hAnsi="Aptos"/>
          <w:sz w:val="20"/>
          <w:szCs w:val="20"/>
        </w:rPr>
        <w:t xml:space="preserve">, som hele opgaven er svaret på. Den må</w:t>
      </w:r>
    </w:p>
    <w:p>
      <w:pPr>
        <w:spacing w:after="140" w:line="259"/>
      </w:pPr>
      <w:r>
        <w:rPr>
          <w:rFonts w:ascii="Aptos" w:cs="Aptos" w:eastAsia="Aptos" w:hAnsi="Aptos"/>
          <w:sz w:val="20"/>
          <w:szCs w:val="20"/>
        </w:rPr>
        <w:t xml:space="preserve">ikke kunne besvares med ja/nej. Gerne en modsætning eller en konflikt.</w:t>
      </w:r>
    </w:p>
    <w:p>
      <w:pPr>
        <w:pStyle w:val="ListParagraph"/>
        <w:numPr>
          <w:ilvl w:val="0"/>
          <w:numId w:val="1"/>
        </w:numPr>
        <w:spacing w:after="80" w:line="259"/>
      </w:pPr>
      <w:r>
        <w:rPr>
          <w:rFonts w:ascii="Aptos" w:cs="Aptos" w:eastAsia="Aptos" w:hAnsi="Aptos"/>
          <w:sz w:val="20"/>
          <w:szCs w:val="20"/>
        </w:rPr>
        <w:t xml:space="preserve">Problemformuleringen er underpunkter i </w:t>
      </w:r>
      <w:r>
        <w:rPr>
          <w:rFonts w:ascii="Aptos" w:cs="Aptos" w:eastAsia="Aptos" w:hAnsi="Aptos"/>
          <w:b/>
          <w:bCs/>
          <w:sz w:val="20"/>
          <w:szCs w:val="20"/>
        </w:rPr>
        <w:t xml:space="preserve">stigende taksonomiske niveauer</w:t>
      </w:r>
      <w:r>
        <w:rPr>
          <w:rFonts w:ascii="Aptos" w:cs="Aptos" w:eastAsia="Aptos" w:hAnsi="Aptos"/>
          <w:sz w:val="20"/>
          <w:szCs w:val="20"/>
        </w:rPr>
        <w:t xml:space="preserve">:</w:t>
      </w:r>
    </w:p>
    <w:p>
      <w:pPr>
        <w:spacing w:after="140" w:line="259"/>
      </w:pPr>
      <w:r>
        <w:rPr>
          <w:rFonts w:ascii="Aptos" w:cs="Aptos" w:eastAsia="Aptos" w:hAnsi="Aptos"/>
          <w:sz w:val="20"/>
          <w:szCs w:val="20"/>
        </w:rPr>
        <w:t xml:space="preserve">redegørelse → analyse → diskussion/vurdering.</w:t>
      </w:r>
    </w:p>
    <w:p>
      <w:pPr>
        <w:pStyle w:val="ListParagraph"/>
        <w:numPr>
          <w:ilvl w:val="0"/>
          <w:numId w:val="1"/>
        </w:numPr>
        <w:spacing w:after="80" w:line="259"/>
      </w:pPr>
      <w:r>
        <w:rPr>
          <w:rFonts w:ascii="Aptos" w:cs="Aptos" w:eastAsia="Aptos" w:hAnsi="Aptos"/>
          <w:sz w:val="20"/>
          <w:szCs w:val="20"/>
        </w:rPr>
        <w:t xml:space="preserve">Der skal være en rød tråd: det redegørende skal danne grundlag for det</w:t>
      </w:r>
    </w:p>
    <w:p>
      <w:pPr>
        <w:spacing w:after="140" w:line="259"/>
      </w:pPr>
      <w:r>
        <w:rPr>
          <w:rFonts w:ascii="Aptos" w:cs="Aptos" w:eastAsia="Aptos" w:hAnsi="Aptos"/>
          <w:sz w:val="20"/>
          <w:szCs w:val="20"/>
        </w:rPr>
        <w:t xml:space="preserve">analyserende, som er afsæt for det diskuterende.</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Anbefalet: forslag A</w:t>
      </w:r>
    </w:p>
    <w:p>
      <w:pPr>
        <w:pBdr>
          <w:left w:val="single" w:color="1F3864" w:sz="12" w:space="10"/>
        </w:pBdr>
        <w:spacing w:after="200" w:before="120" w:line="259"/>
        <w:ind w:left="300"/>
      </w:pPr>
      <w:r>
        <w:rPr>
          <w:rFonts w:ascii="Aptos" w:cs="Aptos" w:eastAsia="Aptos" w:hAnsi="Aptos"/>
          <w:sz w:val="20"/>
          <w:szCs w:val="20"/>
        </w:rPr>
        <w:t xml:space="preserve">### Problemstilling </w:t>
      </w:r>
      <w:r>
        <w:rPr>
          <w:rFonts w:ascii="Aptos" w:cs="Aptos" w:eastAsia="Aptos" w:hAnsi="Aptos"/>
          <w:b/>
          <w:bCs/>
          <w:sz w:val="20"/>
          <w:szCs w:val="20"/>
        </w:rPr>
        <w:t xml:space="preserve">Hvordan kan det være, at Japans forbedrede priskonkurrenceevne ikke har ført til øget velstand for japanske husholdninger?</w:t>
      </w:r>
    </w:p>
    <w:p>
      <w:pPr>
        <w:pBdr>
          <w:left w:val="single" w:color="1F3864" w:sz="12" w:space="10"/>
        </w:pBdr>
        <w:spacing w:after="200" w:before="120" w:line="259"/>
        <w:ind w:left="300"/>
      </w:pPr>
      <w:r>
        <w:rPr>
          <w:rFonts w:ascii="Aptos" w:cs="Aptos" w:eastAsia="Aptos" w:hAnsi="Aptos"/>
          <w:sz w:val="20"/>
          <w:szCs w:val="20"/>
        </w:rPr>
        <w:t xml:space="preserve">### Problemformulering 1. Jeg vil </w:t>
      </w:r>
      <w:r>
        <w:rPr>
          <w:rFonts w:ascii="Aptos" w:cs="Aptos" w:eastAsia="Aptos" w:hAnsi="Aptos"/>
          <w:b/>
          <w:bCs/>
          <w:sz w:val="20"/>
          <w:szCs w:val="20"/>
        </w:rPr>
        <w:t xml:space="preserve">redegøre</w:t>
      </w:r>
      <w:r>
        <w:rPr>
          <w:rFonts w:ascii="Aptos" w:cs="Aptos" w:eastAsia="Aptos" w:hAnsi="Aptos"/>
          <w:sz w:val="20"/>
          <w:szCs w:val="20"/>
        </w:rPr>
        <w:t xml:space="preserve"> for Japans økonomiske udgangspunkt, herunder den    demografiske udvikling, arbejdsmarkedets indretning og udviklingen i de    centrale makroøkonomiske nøgletal i perioden 2020–2025. 2. Jeg vil gennem en </w:t>
      </w:r>
      <w:r>
        <w:rPr>
          <w:rFonts w:ascii="Aptos" w:cs="Aptos" w:eastAsia="Aptos" w:hAnsi="Aptos"/>
          <w:b/>
          <w:bCs/>
          <w:sz w:val="20"/>
          <w:szCs w:val="20"/>
        </w:rPr>
        <w:t xml:space="preserve">makroøkonomisk landeanalyse analysere</w:t>
      </w:r>
      <w:r>
        <w:rPr>
          <w:rFonts w:ascii="Aptos" w:cs="Aptos" w:eastAsia="Aptos" w:hAnsi="Aptos"/>
          <w:sz w:val="20"/>
          <w:szCs w:val="20"/>
        </w:rPr>
        <w:t xml:space="preserve">, hvordan    yensvækkelsen har påvirket Japans konkurrenceevne, betalingsbalance og    indenlandske efterspørgsel, og hvilke økonomiske usikkerheder det skaber. 3. Jeg vil </w:t>
      </w:r>
      <w:r>
        <w:rPr>
          <w:rFonts w:ascii="Aptos" w:cs="Aptos" w:eastAsia="Aptos" w:hAnsi="Aptos"/>
          <w:b/>
          <w:bCs/>
          <w:sz w:val="20"/>
          <w:szCs w:val="20"/>
        </w:rPr>
        <w:t xml:space="preserve">diskutere</w:t>
      </w:r>
      <w:r>
        <w:rPr>
          <w:rFonts w:ascii="Aptos" w:cs="Aptos" w:eastAsia="Aptos" w:hAnsi="Aptos"/>
          <w:sz w:val="20"/>
          <w:szCs w:val="20"/>
        </w:rPr>
        <w:t xml:space="preserve">, om en svag valuta er en holdbar vækststrategi for    Japan, når den samtidig udhuler reallønnen og forudsætter en fortsat lav    rente. 4. Jeg vil </w:t>
      </w:r>
      <w:r>
        <w:rPr>
          <w:rFonts w:ascii="Aptos" w:cs="Aptos" w:eastAsia="Aptos" w:hAnsi="Aptos"/>
          <w:b/>
          <w:bCs/>
          <w:sz w:val="20"/>
          <w:szCs w:val="20"/>
        </w:rPr>
        <w:t xml:space="preserve">vurdere</w:t>
      </w:r>
      <w:r>
        <w:rPr>
          <w:rFonts w:ascii="Aptos" w:cs="Aptos" w:eastAsia="Aptos" w:hAnsi="Aptos"/>
          <w:sz w:val="20"/>
          <w:szCs w:val="20"/>
        </w:rPr>
        <w:t xml:space="preserve">, hvilke økonomisk-politiske tiltag der mest    hensigtsmæssigt kan styrke japansk vækst på kort og langt sigt.</w:t>
      </w:r>
    </w:p>
    <w:p>
      <w:pPr>
        <w:spacing w:after="140" w:line="259"/>
      </w:pPr>
      <w:r>
        <w:rPr>
          <w:rFonts w:ascii="Aptos" w:cs="Aptos" w:eastAsia="Aptos" w:hAnsi="Aptos"/>
          <w:b/>
          <w:bCs/>
          <w:sz w:val="20"/>
          <w:szCs w:val="20"/>
        </w:rPr>
        <w:t xml:space="preserve">Hvorfor A:</w:t>
      </w:r>
    </w:p>
    <w:p>
      <w:pPr>
        <w:pStyle w:val="ListParagraph"/>
        <w:numPr>
          <w:ilvl w:val="0"/>
          <w:numId w:val="1"/>
        </w:numPr>
        <w:spacing w:after="80" w:line="259"/>
      </w:pPr>
      <w:r>
        <w:rPr>
          <w:rFonts w:ascii="Aptos" w:cs="Aptos" w:eastAsia="Aptos" w:hAnsi="Aptos"/>
          <w:sz w:val="20"/>
          <w:szCs w:val="20"/>
        </w:rPr>
        <w:t xml:space="preserve">Den rammer forløbets titel direkte — handel og konkurrenceevne er selve</w:t>
      </w:r>
    </w:p>
    <w:p>
      <w:pPr>
        <w:spacing w:after="140" w:line="259"/>
      </w:pPr>
      <w:r>
        <w:rPr>
          <w:rFonts w:ascii="Aptos" w:cs="Aptos" w:eastAsia="Aptos" w:hAnsi="Aptos"/>
          <w:sz w:val="20"/>
          <w:szCs w:val="20"/>
        </w:rPr>
        <w:t xml:space="preserve">omdrejningspunktet, ikke en tilføjelse.</w:t>
      </w:r>
    </w:p>
    <w:p>
      <w:pPr>
        <w:pStyle w:val="ListParagraph"/>
        <w:numPr>
          <w:ilvl w:val="0"/>
          <w:numId w:val="1"/>
        </w:numPr>
        <w:spacing w:after="80" w:line="259"/>
      </w:pPr>
      <w:r>
        <w:rPr>
          <w:rFonts w:ascii="Aptos" w:cs="Aptos" w:eastAsia="Aptos" w:hAnsi="Aptos"/>
          <w:sz w:val="20"/>
          <w:szCs w:val="20"/>
        </w:rPr>
        <w:t xml:space="preserve">Den er en </w:t>
      </w:r>
      <w:r>
        <w:rPr>
          <w:rFonts w:ascii="Aptos" w:cs="Aptos" w:eastAsia="Aptos" w:hAnsi="Aptos"/>
          <w:b/>
          <w:bCs/>
          <w:sz w:val="20"/>
          <w:szCs w:val="20"/>
        </w:rPr>
        <w:t xml:space="preserve">ægte modsætning</w:t>
      </w:r>
      <w:r>
        <w:rPr>
          <w:rFonts w:ascii="Aptos" w:cs="Aptos" w:eastAsia="Aptos" w:hAnsi="Aptos"/>
          <w:sz w:val="20"/>
          <w:szCs w:val="20"/>
        </w:rPr>
        <w:t xml:space="preserve">. Forbedret konkurrenceevne </w:t>
      </w:r>
      <w:r>
        <w:rPr>
          <w:rFonts w:ascii="Aptos" w:cs="Aptos" w:eastAsia="Aptos" w:hAnsi="Aptos"/>
          <w:i/>
          <w:iCs/>
          <w:sz w:val="20"/>
          <w:szCs w:val="20"/>
        </w:rPr>
        <w:t xml:space="preserve">burde</w:t>
      </w:r>
      <w:r>
        <w:rPr>
          <w:rFonts w:ascii="Aptos" w:cs="Aptos" w:eastAsia="Aptos" w:hAnsi="Aptos"/>
          <w:sz w:val="20"/>
          <w:szCs w:val="20"/>
        </w:rPr>
        <w:t xml:space="preserve"> give vækst.</w:t>
      </w:r>
    </w:p>
    <w:p>
      <w:pPr>
        <w:spacing w:after="140" w:line="259"/>
      </w:pPr>
      <w:r>
        <w:rPr>
          <w:rFonts w:ascii="Aptos" w:cs="Aptos" w:eastAsia="Aptos" w:hAnsi="Aptos"/>
          <w:sz w:val="20"/>
          <w:szCs w:val="20"/>
        </w:rPr>
        <w:t xml:space="preserve">At det ikke sker, kræver en forklaring, og forklaringen kræver, at man kobler valutakurs, inflation, realløn, opsparingskvote og forbrug. Det er præcis den form for kausalkædearbejde, kapitel 21 lægger op til.</w:t>
      </w:r>
    </w:p>
    <w:p>
      <w:pPr>
        <w:pStyle w:val="ListParagraph"/>
        <w:numPr>
          <w:ilvl w:val="0"/>
          <w:numId w:val="1"/>
        </w:numPr>
        <w:spacing w:after="80" w:line="259"/>
      </w:pPr>
      <w:r>
        <w:rPr>
          <w:rFonts w:ascii="Aptos" w:cs="Aptos" w:eastAsia="Aptos" w:hAnsi="Aptos"/>
          <w:sz w:val="20"/>
          <w:szCs w:val="20"/>
        </w:rPr>
        <w:t xml:space="preserve">Alle fire kausalkæder fra landeanalysen får en plads.</w:t>
      </w:r>
    </w:p>
    <w:p>
      <w:pPr>
        <w:pStyle w:val="ListParagraph"/>
        <w:numPr>
          <w:ilvl w:val="0"/>
          <w:numId w:val="1"/>
        </w:numPr>
        <w:spacing w:after="80" w:line="259"/>
      </w:pPr>
      <w:r>
        <w:rPr>
          <w:rFonts w:ascii="Aptos" w:cs="Aptos" w:eastAsia="Aptos" w:hAnsi="Aptos"/>
          <w:sz w:val="20"/>
          <w:szCs w:val="20"/>
        </w:rPr>
        <w:t xml:space="preserve">Punkt 3 rummer en reel modsætning at diskutere (klemmen mellem yen og rente),</w:t>
      </w:r>
    </w:p>
    <w:p>
      <w:pPr>
        <w:spacing w:after="140" w:line="259"/>
      </w:pPr>
      <w:r>
        <w:rPr>
          <w:rFonts w:ascii="Aptos" w:cs="Aptos" w:eastAsia="Aptos" w:hAnsi="Aptos"/>
          <w:sz w:val="20"/>
          <w:szCs w:val="20"/>
        </w:rPr>
        <w:t xml:space="preserve">ikke bare en for/imod-liste.</w:t>
      </w:r>
    </w:p>
    <w:p>
      <w:pPr>
        <w:pBdr>
          <w:bottom w:val="single" w:color="D0D0D0" w:sz="6" w:space="1"/>
        </w:pBdr>
        <w:spacing w:after="200" w:before="160"/>
      </w:pPr>
      <w:r>
        <w:rPr>
          <w:sz w:val="2"/>
          <w:szCs w:val="2"/>
        </w:rPr>
        <w:t xml:space="preserve"/>
      </w:r>
    </w:p>
    <w:p>
      <w:pPr>
        <w:pStyle w:val="Heading2"/>
        <w:spacing w:after="160" w:before="320" w:line="259"/>
      </w:pPr>
      <w:r>
        <w:rPr>
          <w:rFonts w:ascii="Aptos" w:cs="Aptos" w:eastAsia="Aptos" w:hAnsi="Aptos"/>
          <w:b/>
          <w:bCs/>
          <w:color w:val="000000"/>
          <w:sz w:val="26"/>
          <w:szCs w:val="26"/>
        </w:rPr>
        <w:t xml:space="preserve">Alternativ: forslag B</w:t>
      </w:r>
    </w:p>
    <w:p>
      <w:pPr>
        <w:pBdr>
          <w:left w:val="single" w:color="1F3864" w:sz="12" w:space="10"/>
        </w:pBdr>
        <w:spacing w:after="200" w:before="120" w:line="259"/>
        <w:ind w:left="300"/>
      </w:pPr>
      <w:r>
        <w:rPr>
          <w:rFonts w:ascii="Aptos" w:cs="Aptos" w:eastAsia="Aptos" w:hAnsi="Aptos"/>
          <w:b/>
          <w:bCs/>
          <w:sz w:val="20"/>
          <w:szCs w:val="20"/>
        </w:rPr>
        <w:t xml:space="preserve">Hvilke konsekvenser vil en normalisering af japansk pengepolitik få for Japans offentlige finanser og økonomiske vækst?</w:t>
      </w:r>
    </w:p>
    <w:p>
      <w:pPr>
        <w:spacing w:after="140" w:line="259"/>
      </w:pPr>
      <w:r>
        <w:rPr>
          <w:rFonts w:ascii="Aptos" w:cs="Aptos" w:eastAsia="Aptos" w:hAnsi="Aptos"/>
          <w:sz w:val="20"/>
          <w:szCs w:val="20"/>
        </w:rPr>
        <w:t xml:space="preserve">Bygger på kæde D. Stærk, fordi rentefølsomheden ved 244 pct. gæld giver et konkret regnestykke, man kan bære en hel vurdering på. Svagere fordi den er mindre knyttet til forløbets handelsperspektiv — den handler mere om pengepolitik end om konkurrenceevne. </w:t>
      </w:r>
      <w:r>
        <w:rPr>
          <w:rFonts w:ascii="Aptos" w:cs="Aptos" w:eastAsia="Aptos" w:hAnsi="Aptos"/>
          <w:b/>
          <w:bCs/>
          <w:sz w:val="20"/>
          <w:szCs w:val="20"/>
        </w:rPr>
        <w:t xml:space="preserve">Brug den som indhold i forslag A's punkt 3 i stedet for som selvstændig problemstilling.</w:t>
      </w:r>
    </w:p>
    <w:p>
      <w:pPr>
        <w:pStyle w:val="Heading2"/>
        <w:spacing w:after="160" w:before="320" w:line="259"/>
      </w:pPr>
      <w:r>
        <w:rPr>
          <w:rFonts w:ascii="Aptos" w:cs="Aptos" w:eastAsia="Aptos" w:hAnsi="Aptos"/>
          <w:b/>
          <w:bCs/>
          <w:color w:val="000000"/>
          <w:sz w:val="26"/>
          <w:szCs w:val="26"/>
        </w:rPr>
        <w:t xml:space="preserve">Alternativ: forslag C</w:t>
      </w:r>
    </w:p>
    <w:p>
      <w:pPr>
        <w:pBdr>
          <w:left w:val="single" w:color="1F3864" w:sz="12" w:space="10"/>
        </w:pBdr>
        <w:spacing w:after="200" w:before="120" w:line="259"/>
        <w:ind w:left="300"/>
      </w:pPr>
      <w:r>
        <w:rPr>
          <w:rFonts w:ascii="Aptos" w:cs="Aptos" w:eastAsia="Aptos" w:hAnsi="Aptos"/>
          <w:b/>
          <w:bCs/>
          <w:sz w:val="20"/>
          <w:szCs w:val="20"/>
        </w:rPr>
        <w:t xml:space="preserve">Hvordan påvirker den demografiske udvikling Japans muligheder for økonomisk vækst?</w:t>
      </w:r>
    </w:p>
    <w:p>
      <w:pPr>
        <w:spacing w:after="140" w:line="259"/>
      </w:pPr>
      <w:r>
        <w:rPr>
          <w:rFonts w:ascii="Aptos" w:cs="Aptos" w:eastAsia="Aptos" w:hAnsi="Aptos"/>
          <w:sz w:val="20"/>
          <w:szCs w:val="20"/>
        </w:rPr>
        <w:t xml:space="preserve">Bygger på kæde C. Fagligt solid, men to forbehold: den er den mest gennemtærskede Japan-vinkel, og den er stort set identisk med metode-eksempel 2 i </w:t>
      </w:r>
      <w:r>
        <w:rPr>
          <w:rFonts w:ascii="Consolas" w:cs="Consolas" w:eastAsia="Consolas" w:hAnsi="Consolas"/>
          <w:color w:val="A31515"/>
          <w:sz w:val="18"/>
          <w:szCs w:val="18"/>
        </w:rPr>
        <w:t xml:space="preserve">Metode_eksempler.docx</w:t>
      </w:r>
      <w:r>
        <w:rPr>
          <w:rFonts w:ascii="Aptos" w:cs="Aptos" w:eastAsia="Aptos" w:hAnsi="Aptos"/>
          <w:sz w:val="20"/>
          <w:szCs w:val="20"/>
        </w:rPr>
        <w:t xml:space="preserve">, som jeres vejleder har udleveret. I risikerer at skrive noget, læreren allerede har læst. </w:t>
      </w:r>
      <w:r>
        <w:rPr>
          <w:rFonts w:ascii="Aptos" w:cs="Aptos" w:eastAsia="Aptos" w:hAnsi="Aptos"/>
          <w:b/>
          <w:bCs/>
          <w:sz w:val="20"/>
          <w:szCs w:val="20"/>
        </w:rPr>
        <w:t xml:space="preserve">Brug demografien som forklaring i redegørelsen, ikke som problemstilling.</w:t>
      </w:r>
    </w:p>
    <w:p>
      <w:pPr>
        <w:pBdr>
          <w:bottom w:val="single" w:color="D0D0D0" w:sz="6" w:space="1"/>
        </w:pBdr>
        <w:spacing w:after="200" w:before="160"/>
      </w:pPr>
      <w:r>
        <w:rPr>
          <w:sz w:val="2"/>
          <w:szCs w:val="2"/>
        </w:rPr>
        <w:t xml:space="preserve"/>
      </w:r>
    </w:p>
    <w:p>
      <w:pPr>
        <w:pStyle w:val="Heading1"/>
        <w:spacing w:after="160" w:before="240" w:line="259"/>
      </w:pPr>
      <w:r>
        <w:rPr>
          <w:rFonts w:ascii="Aptos" w:cs="Aptos" w:eastAsia="Aptos" w:hAnsi="Aptos"/>
          <w:b/>
          <w:bCs/>
          <w:color w:val="1F3864"/>
          <w:sz w:val="32"/>
          <w:szCs w:val="32"/>
        </w:rPr>
        <w:t xml:space="preserve">Metodeafsnittet — hvad det skal indeholde</w:t>
      </w:r>
    </w:p>
    <w:p>
      <w:pPr>
        <w:spacing w:after="140" w:line="259"/>
      </w:pPr>
      <w:r>
        <w:rPr>
          <w:rFonts w:ascii="Aptos" w:cs="Aptos" w:eastAsia="Aptos" w:hAnsi="Aptos"/>
          <w:sz w:val="20"/>
          <w:szCs w:val="20"/>
        </w:rPr>
        <w:t xml:space="preserve">Vejledningen er skarp på et par ting, som er nemme at falde i:</w:t>
      </w:r>
    </w:p>
    <w:p>
      <w:pPr>
        <w:pStyle w:val="ListParagraph"/>
        <w:numPr>
          <w:ilvl w:val="0"/>
          <w:numId w:val="1"/>
        </w:numPr>
        <w:spacing w:after="80" w:line="259"/>
      </w:pPr>
      <w:r>
        <w:rPr>
          <w:rFonts w:ascii="Aptos" w:cs="Aptos" w:eastAsia="Aptos" w:hAnsi="Aptos"/>
          <w:b/>
          <w:bCs/>
          <w:sz w:val="20"/>
          <w:szCs w:val="20"/>
        </w:rPr>
        <w:t xml:space="preserve">Ikke fagenes metoder generelt</w:t>
      </w:r>
      <w:r>
        <w:rPr>
          <w:rFonts w:ascii="Aptos" w:cs="Aptos" w:eastAsia="Aptos" w:hAnsi="Aptos"/>
          <w:sz w:val="20"/>
          <w:szCs w:val="20"/>
        </w:rPr>
        <w:t xml:space="preserve"> — de konkrete teorier og modeller, I</w:t>
      </w:r>
    </w:p>
    <w:p>
      <w:pPr>
        <w:spacing w:after="140" w:line="259"/>
      </w:pPr>
      <w:r>
        <w:rPr>
          <w:rFonts w:ascii="Aptos" w:cs="Aptos" w:eastAsia="Aptos" w:hAnsi="Aptos"/>
          <w:sz w:val="20"/>
          <w:szCs w:val="20"/>
        </w:rPr>
        <w:t xml:space="preserve">faktisk bruger.</w:t>
      </w:r>
    </w:p>
    <w:p>
      <w:pPr>
        <w:pStyle w:val="ListParagraph"/>
        <w:numPr>
          <w:ilvl w:val="0"/>
          <w:numId w:val="1"/>
        </w:numPr>
        <w:spacing w:after="80" w:line="259"/>
      </w:pPr>
      <w:r>
        <w:rPr>
          <w:rFonts w:ascii="Aptos" w:cs="Aptos" w:eastAsia="Aptos" w:hAnsi="Aptos"/>
          <w:b/>
          <w:bCs/>
          <w:sz w:val="20"/>
          <w:szCs w:val="20"/>
        </w:rPr>
        <w:t xml:space="preserve">Ikke opdelt i fag.</w:t>
      </w:r>
      <w:r>
        <w:rPr>
          <w:rFonts w:ascii="Aptos" w:cs="Aptos" w:eastAsia="Aptos" w:hAnsi="Aptos"/>
          <w:sz w:val="20"/>
          <w:szCs w:val="20"/>
        </w:rPr>
        <w:t xml:space="preserve"> Skriv det som ét sammenhængende afsnit.</w:t>
      </w:r>
    </w:p>
    <w:p>
      <w:pPr>
        <w:pStyle w:val="ListParagraph"/>
        <w:numPr>
          <w:ilvl w:val="0"/>
          <w:numId w:val="1"/>
        </w:numPr>
        <w:spacing w:after="80" w:line="259"/>
      </w:pPr>
      <w:r>
        <w:rPr>
          <w:rFonts w:ascii="Aptos" w:cs="Aptos" w:eastAsia="Aptos" w:hAnsi="Aptos"/>
          <w:b/>
          <w:bCs/>
          <w:sz w:val="20"/>
          <w:szCs w:val="20"/>
        </w:rPr>
        <w:t xml:space="preserve">Kildekritik skal med</w:t>
      </w:r>
      <w:r>
        <w:rPr>
          <w:rFonts w:ascii="Aptos" w:cs="Aptos" w:eastAsia="Aptos" w:hAnsi="Aptos"/>
          <w:sz w:val="20"/>
          <w:szCs w:val="20"/>
        </w:rPr>
        <w:t xml:space="preserve">, ikke bare en kildeliste.</w:t>
      </w:r>
    </w:p>
    <w:p>
      <w:pPr>
        <w:pStyle w:val="ListParagraph"/>
        <w:numPr>
          <w:ilvl w:val="0"/>
          <w:numId w:val="1"/>
        </w:numPr>
        <w:spacing w:after="80" w:line="259"/>
      </w:pPr>
      <w:r>
        <w:rPr>
          <w:rFonts w:ascii="Aptos" w:cs="Aptos" w:eastAsia="Aptos" w:hAnsi="Aptos"/>
          <w:b/>
          <w:bCs/>
          <w:sz w:val="20"/>
          <w:szCs w:val="20"/>
        </w:rPr>
        <w:t xml:space="preserve">Rediger det løbende.</w:t>
      </w:r>
      <w:r>
        <w:rPr>
          <w:rFonts w:ascii="Aptos" w:cs="Aptos" w:eastAsia="Aptos" w:hAnsi="Aptos"/>
          <w:sz w:val="20"/>
          <w:szCs w:val="20"/>
        </w:rPr>
        <w:t xml:space="preserve"> Tjek til sidst, om I rent faktisk gjorde det, I skrev.</w:t>
      </w:r>
    </w:p>
    <w:p>
      <w:pPr>
        <w:pStyle w:val="Heading2"/>
        <w:spacing w:after="160" w:before="320" w:line="259"/>
      </w:pPr>
      <w:r>
        <w:rPr>
          <w:rFonts w:ascii="Aptos" w:cs="Aptos" w:eastAsia="Aptos" w:hAnsi="Aptos"/>
          <w:b/>
          <w:bCs/>
          <w:color w:val="000000"/>
          <w:sz w:val="26"/>
          <w:szCs w:val="26"/>
        </w:rPr>
        <w:t xml:space="preserve">Byggeklodser til vores metodeafsnit</w:t>
      </w:r>
    </w:p>
    <w:p>
      <w:pPr>
        <w:spacing w:after="140" w:line="259"/>
      </w:pPr>
      <w:r>
        <w:rPr>
          <w:rFonts w:ascii="Aptos" w:cs="Aptos" w:eastAsia="Aptos" w:hAnsi="Aptos"/>
          <w:b/>
          <w:bCs/>
          <w:sz w:val="20"/>
          <w:szCs w:val="20"/>
        </w:rPr>
        <w:t xml:space="preserve">Analysedesign.</w:t>
      </w:r>
      <w:r>
        <w:rPr>
          <w:rFonts w:ascii="Aptos" w:cs="Aptos" w:eastAsia="Aptos" w:hAnsi="Aptos"/>
          <w:sz w:val="20"/>
          <w:szCs w:val="20"/>
        </w:rPr>
        <w:t xml:space="preserve"> Ud fra de fire designs i kapitel 33 er vores primært </w:t>
      </w:r>
      <w:r>
        <w:rPr>
          <w:rFonts w:ascii="Aptos" w:cs="Aptos" w:eastAsia="Aptos" w:hAnsi="Aptos"/>
          <w:b/>
          <w:bCs/>
          <w:sz w:val="20"/>
          <w:szCs w:val="20"/>
        </w:rPr>
        <w:t xml:space="preserve">kausalt</w:t>
      </w:r>
      <w:r>
        <w:rPr>
          <w:rFonts w:ascii="Aptos" w:cs="Aptos" w:eastAsia="Aptos" w:hAnsi="Aptos"/>
          <w:sz w:val="20"/>
          <w:szCs w:val="20"/>
        </w:rPr>
        <w:t xml:space="preserve"> — vi undersøger årsag-virkning gennem kausalkæder mellem nøgletal. Der er et </w:t>
      </w:r>
      <w:r>
        <w:rPr>
          <w:rFonts w:ascii="Aptos" w:cs="Aptos" w:eastAsia="Aptos" w:hAnsi="Aptos"/>
          <w:b/>
          <w:bCs/>
          <w:sz w:val="20"/>
          <w:szCs w:val="20"/>
        </w:rPr>
        <w:t xml:space="preserve">deskriptivt</w:t>
      </w:r>
      <w:r>
        <w:rPr>
          <w:rFonts w:ascii="Aptos" w:cs="Aptos" w:eastAsia="Aptos" w:hAnsi="Aptos"/>
          <w:sz w:val="20"/>
          <w:szCs w:val="20"/>
        </w:rPr>
        <w:t xml:space="preserve"> element i redegørelsen (kortlægning af nøgletallenes udvikling) og et </w:t>
      </w:r>
      <w:r>
        <w:rPr>
          <w:rFonts w:ascii="Aptos" w:cs="Aptos" w:eastAsia="Aptos" w:hAnsi="Aptos"/>
          <w:b/>
          <w:bCs/>
          <w:sz w:val="20"/>
          <w:szCs w:val="20"/>
        </w:rPr>
        <w:t xml:space="preserve">komparativt</w:t>
      </w:r>
      <w:r>
        <w:rPr>
          <w:rFonts w:ascii="Aptos" w:cs="Aptos" w:eastAsia="Aptos" w:hAnsi="Aptos"/>
          <w:sz w:val="20"/>
          <w:szCs w:val="20"/>
        </w:rPr>
        <w:t xml:space="preserve"> element, hvis vi holder Japan op mod fx Danmark eller euroområdet. Det er metodetriangulering, og det skal skrives eksplicit.</w:t>
      </w:r>
    </w:p>
    <w:p>
      <w:pPr>
        <w:spacing w:after="140" w:line="259"/>
      </w:pPr>
      <w:r>
        <w:rPr>
          <w:rFonts w:ascii="Aptos" w:cs="Aptos" w:eastAsia="Aptos" w:hAnsi="Aptos"/>
          <w:b/>
          <w:bCs/>
          <w:sz w:val="20"/>
          <w:szCs w:val="20"/>
        </w:rPr>
        <w:t xml:space="preserve">Data.</w:t>
      </w:r>
    </w:p>
    <w:p>
      <w:pPr>
        <w:pStyle w:val="ListParagraph"/>
        <w:numPr>
          <w:ilvl w:val="0"/>
          <w:numId w:val="1"/>
        </w:numPr>
        <w:spacing w:after="80" w:line="259"/>
      </w:pPr>
      <w:r>
        <w:rPr>
          <w:rFonts w:ascii="Aptos" w:cs="Aptos" w:eastAsia="Aptos" w:hAnsi="Aptos"/>
          <w:i/>
          <w:iCs/>
          <w:sz w:val="20"/>
          <w:szCs w:val="20"/>
        </w:rPr>
        <w:t xml:space="preserve">Kvantitativ, sekundær:</w:t>
      </w:r>
      <w:r>
        <w:rPr>
          <w:rFonts w:ascii="Aptos" w:cs="Aptos" w:eastAsia="Aptos" w:hAnsi="Aptos"/>
          <w:sz w:val="20"/>
          <w:szCs w:val="20"/>
        </w:rPr>
        <w:t xml:space="preserve"> OECD Economic Outlook (forsyningsbalance og nøgletal),</w:t>
      </w:r>
    </w:p>
    <w:p>
      <w:pPr>
        <w:spacing w:after="140" w:line="259"/>
      </w:pPr>
      <w:r>
        <w:rPr>
          <w:rFonts w:ascii="Aptos" w:cs="Aptos" w:eastAsia="Aptos" w:hAnsi="Aptos"/>
          <w:sz w:val="20"/>
          <w:szCs w:val="20"/>
        </w:rPr>
        <w:t xml:space="preserve">Bank of Japan (valutakurs, renter). Skriv årgang og dato.</w:t>
      </w:r>
    </w:p>
    <w:p>
      <w:pPr>
        <w:pStyle w:val="ListParagraph"/>
        <w:numPr>
          <w:ilvl w:val="0"/>
          <w:numId w:val="1"/>
        </w:numPr>
        <w:spacing w:after="80" w:line="259"/>
      </w:pPr>
      <w:r>
        <w:rPr>
          <w:rFonts w:ascii="Aptos" w:cs="Aptos" w:eastAsia="Aptos" w:hAnsi="Aptos"/>
          <w:i/>
          <w:iCs/>
          <w:sz w:val="20"/>
          <w:szCs w:val="20"/>
        </w:rPr>
        <w:t xml:space="preserve">Kvalitativ, sekundær:</w:t>
      </w:r>
      <w:r>
        <w:rPr>
          <w:rFonts w:ascii="Aptos" w:cs="Aptos" w:eastAsia="Aptos" w:hAnsi="Aptos"/>
          <w:sz w:val="20"/>
          <w:szCs w:val="20"/>
        </w:rPr>
        <w:t xml:space="preserve"> artikler om japansk løndannelse, arbejdsmarked og</w:t>
      </w:r>
    </w:p>
    <w:p>
      <w:pPr>
        <w:spacing w:after="140" w:line="259"/>
      </w:pPr>
      <w:r>
        <w:rPr>
          <w:rFonts w:ascii="Aptos" w:cs="Aptos" w:eastAsia="Aptos" w:hAnsi="Aptos"/>
          <w:sz w:val="20"/>
          <w:szCs w:val="20"/>
        </w:rPr>
        <w:t xml:space="preserve">pengepolitik.</w:t>
      </w:r>
    </w:p>
    <w:p>
      <w:pPr>
        <w:pStyle w:val="ListParagraph"/>
        <w:numPr>
          <w:ilvl w:val="0"/>
          <w:numId w:val="1"/>
        </w:numPr>
        <w:spacing w:after="80" w:line="259"/>
      </w:pPr>
      <w:r>
        <w:rPr>
          <w:rFonts w:ascii="Aptos" w:cs="Aptos" w:eastAsia="Aptos" w:hAnsi="Aptos"/>
          <w:sz w:val="20"/>
          <w:szCs w:val="20"/>
        </w:rPr>
        <w:t xml:space="preserve">Begrund kombinationen: nøgletallene viser </w:t>
      </w:r>
      <w:r>
        <w:rPr>
          <w:rFonts w:ascii="Aptos" w:cs="Aptos" w:eastAsia="Aptos" w:hAnsi="Aptos"/>
          <w:i/>
          <w:iCs/>
          <w:sz w:val="20"/>
          <w:szCs w:val="20"/>
        </w:rPr>
        <w:t xml:space="preserve">hvad</w:t>
      </w:r>
      <w:r>
        <w:rPr>
          <w:rFonts w:ascii="Aptos" w:cs="Aptos" w:eastAsia="Aptos" w:hAnsi="Aptos"/>
          <w:sz w:val="20"/>
          <w:szCs w:val="20"/>
        </w:rPr>
        <w:t xml:space="preserve"> der sker, men ikke </w:t>
      </w:r>
      <w:r>
        <w:rPr>
          <w:rFonts w:ascii="Aptos" w:cs="Aptos" w:eastAsia="Aptos" w:hAnsi="Aptos"/>
          <w:i/>
          <w:iCs/>
          <w:sz w:val="20"/>
          <w:szCs w:val="20"/>
        </w:rPr>
        <w:t xml:space="preserve">hvorfor</w:t>
      </w:r>
    </w:p>
    <w:p>
      <w:pPr>
        <w:spacing w:after="140" w:line="259"/>
      </w:pPr>
      <w:r>
        <w:rPr>
          <w:rFonts w:ascii="Aptos" w:cs="Aptos" w:eastAsia="Aptos" w:hAnsi="Aptos"/>
          <w:sz w:val="20"/>
          <w:szCs w:val="20"/>
        </w:rPr>
        <w:t xml:space="preserve">et stramt arbejdsmarked ikke giver lønpres. Det kræver kvalitative kilder.</w:t>
      </w:r>
    </w:p>
    <w:p>
      <w:pPr>
        <w:spacing w:after="140" w:line="259"/>
      </w:pPr>
      <w:r>
        <w:rPr>
          <w:rFonts w:ascii="Aptos" w:cs="Aptos" w:eastAsia="Aptos" w:hAnsi="Aptos"/>
          <w:b/>
          <w:bCs/>
          <w:sz w:val="20"/>
          <w:szCs w:val="20"/>
        </w:rPr>
        <w:t xml:space="preserve">Kildekritik — konkret, ikke generisk.</w:t>
      </w:r>
      <w:r>
        <w:rPr>
          <w:rFonts w:ascii="Aptos" w:cs="Aptos" w:eastAsia="Aptos" w:hAnsi="Aptos"/>
          <w:sz w:val="20"/>
          <w:szCs w:val="20"/>
        </w:rPr>
        <w:t xml:space="preserve"> Her er tre reelle forbehold, vi kan skrive om vores eget materiale:</w:t>
      </w:r>
    </w:p>
    <w:p>
      <w:pPr>
        <w:pStyle w:val="ListParagraph"/>
        <w:numPr>
          <w:ilvl w:val="0"/>
          <w:numId w:val="2"/>
        </w:numPr>
        <w:spacing w:after="80" w:line="259"/>
      </w:pPr>
      <w:r>
        <w:rPr>
          <w:rFonts w:ascii="Aptos" w:cs="Aptos" w:eastAsia="Aptos" w:hAnsi="Aptos"/>
          <w:sz w:val="20"/>
          <w:szCs w:val="20"/>
        </w:rPr>
        <w:t xml:space="preserve">OECD's tal for de seneste år er </w:t>
      </w:r>
      <w:r>
        <w:rPr>
          <w:rFonts w:ascii="Aptos" w:cs="Aptos" w:eastAsia="Aptos" w:hAnsi="Aptos"/>
          <w:b/>
          <w:bCs/>
          <w:sz w:val="20"/>
          <w:szCs w:val="20"/>
        </w:rPr>
        <w:t xml:space="preserve">fremskrivninger</w:t>
      </w:r>
      <w:r>
        <w:rPr>
          <w:rFonts w:ascii="Aptos" w:cs="Aptos" w:eastAsia="Aptos" w:hAnsi="Aptos"/>
          <w:sz w:val="20"/>
          <w:szCs w:val="20"/>
        </w:rPr>
        <w:t xml:space="preserve">, ikke realiserede tal.</w:t>
      </w:r>
    </w:p>
    <w:p>
      <w:pPr>
        <w:spacing w:after="140" w:line="259"/>
      </w:pPr>
      <w:r>
        <w:rPr>
          <w:rFonts w:ascii="Aptos" w:cs="Aptos" w:eastAsia="Aptos" w:hAnsi="Aptos"/>
          <w:sz w:val="20"/>
          <w:szCs w:val="20"/>
        </w:rPr>
        <w:t xml:space="preserve">Vi anvender dem som skøn og markerer dem som sådan.</w:t>
      </w:r>
    </w:p>
    <w:p>
      <w:pPr>
        <w:pStyle w:val="ListParagraph"/>
        <w:numPr>
          <w:ilvl w:val="0"/>
          <w:numId w:val="2"/>
        </w:numPr>
        <w:spacing w:after="80" w:line="259"/>
      </w:pPr>
      <w:r>
        <w:rPr>
          <w:rFonts w:ascii="Aptos" w:cs="Aptos" w:eastAsia="Aptos" w:hAnsi="Aptos"/>
          <w:sz w:val="20"/>
          <w:szCs w:val="20"/>
        </w:rPr>
        <w:t xml:space="preserve">Nøgletal for Japan </w:t>
      </w:r>
      <w:r>
        <w:rPr>
          <w:rFonts w:ascii="Aptos" w:cs="Aptos" w:eastAsia="Aptos" w:hAnsi="Aptos"/>
          <w:b/>
          <w:bCs/>
          <w:sz w:val="20"/>
          <w:szCs w:val="20"/>
        </w:rPr>
        <w:t xml:space="preserve">varierer mellem kilder</w:t>
      </w:r>
      <w:r>
        <w:rPr>
          <w:rFonts w:ascii="Aptos" w:cs="Aptos" w:eastAsia="Aptos" w:hAnsi="Aptos"/>
          <w:sz w:val="20"/>
          <w:szCs w:val="20"/>
        </w:rPr>
        <w:t xml:space="preserve"> afhængigt af opgørelsesmetode —</w:t>
      </w:r>
    </w:p>
    <w:p>
      <w:pPr>
        <w:spacing w:after="140" w:line="259"/>
      </w:pPr>
      <w:r>
        <w:rPr>
          <w:rFonts w:ascii="Aptos" w:cs="Aptos" w:eastAsia="Aptos" w:hAnsi="Aptos"/>
          <w:sz w:val="20"/>
          <w:szCs w:val="20"/>
        </w:rPr>
        <w:t xml:space="preserve">fx opgøres offentlig gæld både brutto og netto, og forskellen er stor for Japan. Vi har derfor holdt os til én kilde for at sikre konsistens.</w:t>
      </w:r>
    </w:p>
    <w:p>
      <w:pPr>
        <w:pStyle w:val="ListParagraph"/>
        <w:numPr>
          <w:ilvl w:val="0"/>
          <w:numId w:val="2"/>
        </w:numPr>
        <w:spacing w:after="80" w:line="259"/>
      </w:pPr>
      <w:r>
        <w:rPr>
          <w:rFonts w:ascii="Aptos" w:cs="Aptos" w:eastAsia="Aptos" w:hAnsi="Aptos"/>
          <w:sz w:val="20"/>
          <w:szCs w:val="20"/>
        </w:rPr>
        <w:t xml:space="preserve">Vores kvalitative kilder er </w:t>
      </w:r>
      <w:r>
        <w:rPr>
          <w:rFonts w:ascii="Aptos" w:cs="Aptos" w:eastAsia="Aptos" w:hAnsi="Aptos"/>
          <w:b/>
          <w:bCs/>
          <w:sz w:val="20"/>
          <w:szCs w:val="20"/>
        </w:rPr>
        <w:t xml:space="preserve">formålsudarbejdede</w:t>
      </w:r>
      <w:r>
        <w:rPr>
          <w:rFonts w:ascii="Aptos" w:cs="Aptos" w:eastAsia="Aptos" w:hAnsi="Aptos"/>
          <w:sz w:val="20"/>
          <w:szCs w:val="20"/>
        </w:rPr>
        <w:t xml:space="preserve"> — erhvervsmedier og</w:t>
      </w:r>
    </w:p>
    <w:p>
      <w:pPr>
        <w:spacing w:after="140" w:line="259"/>
      </w:pPr>
      <w:r>
        <w:rPr>
          <w:rFonts w:ascii="Aptos" w:cs="Aptos" w:eastAsia="Aptos" w:hAnsi="Aptos"/>
          <w:sz w:val="20"/>
          <w:szCs w:val="20"/>
        </w:rPr>
        <w:t xml:space="preserve">centralbanker har hver deres interesse i, hvordan japansk pengepolitik fremstilles.</w:t>
      </w:r>
    </w:p>
    <w:p>
      <w:pPr>
        <w:spacing w:after="140" w:line="259"/>
      </w:pPr>
      <w:r>
        <w:rPr>
          <w:rFonts w:ascii="Aptos" w:cs="Aptos" w:eastAsia="Aptos" w:hAnsi="Aptos"/>
          <w:sz w:val="20"/>
          <w:szCs w:val="20"/>
        </w:rPr>
        <w:t xml:space="preserve">Punkt 2 er værd at fremhæve: Japans gæld opgøres ofte til ca. 240 pct. brutto, men væsentligt lavere netto, fordi staten selv ejer store aktiver, og fordi Bank of Japan ejer en meget stor del af statsobligationerne. </w:t>
      </w:r>
      <w:r>
        <w:rPr>
          <w:rFonts w:ascii="Aptos" w:cs="Aptos" w:eastAsia="Aptos" w:hAnsi="Aptos"/>
          <w:b/>
          <w:bCs/>
          <w:sz w:val="20"/>
          <w:szCs w:val="20"/>
        </w:rPr>
        <w:t xml:space="preserve">Det er et argument, der hører hjemme i diskussionen</w:t>
      </w:r>
      <w:r>
        <w:rPr>
          <w:rFonts w:ascii="Aptos" w:cs="Aptos" w:eastAsia="Aptos" w:hAnsi="Aptos"/>
          <w:sz w:val="20"/>
          <w:szCs w:val="20"/>
        </w:rPr>
        <w:t xml:space="preserve"> — og det viser, at I har forstået tallene og ikke bare aflæst dem.</w:t>
      </w:r>
    </w:p>
    <w:p>
      <w:pPr>
        <w:spacing w:after="140" w:line="259"/>
      </w:pPr>
      <w:r>
        <w:rPr>
          <w:rFonts w:ascii="Aptos" w:cs="Aptos" w:eastAsia="Aptos" w:hAnsi="Aptos"/>
          <w:b/>
          <w:bCs/>
          <w:sz w:val="20"/>
          <w:szCs w:val="20"/>
        </w:rPr>
        <w:t xml:space="preserve">Teori og modeller, vi anvender:</w:t>
      </w:r>
      <w:r>
        <w:rPr>
          <w:rFonts w:ascii="Aptos" w:cs="Aptos" w:eastAsia="Aptos" w:hAnsi="Aptos"/>
          <w:sz w:val="20"/>
          <w:szCs w:val="20"/>
        </w:rPr>
        <w:t xml:space="preserve"> forsyningsbalancen og vækstbidrag, kausalkæder (kap. 21), betalingsbalancen, konkurrenceevnebegrebet (pris- og strukturel konkurrenceevne), valutakursens effekt på import- og eksportpriser, finans- og pengepolitikkens virkemidler, gældsdynamik.</w:t>
      </w:r>
    </w:p>
    <w:sectPr>
      <w:footerReference w:type="default" r:id="rId7"/>
      <w:pgSz w:w="11906" w:h="16838" w:orient="portrait"/>
      <w:pgMar w:top="1247" w:right="1417" w:bottom="1247" w:left="141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Aptos" w:cs="Aptos" w:eastAsia="Aptos" w:hAnsi="Aptos"/>
        <w:color w:val="808080"/>
        <w:sz w:val="16"/>
        <w:szCs w:val="16"/>
      </w:rPr>
      <w:t xml:space="preserve">Problemformulering og metode   ·   side </w:t>
    </w:r>
    <w:r>
      <w:rPr>
        <w:rFonts w:ascii="Aptos" w:cs="Aptos" w:eastAsia="Aptos" w:hAnsi="Aptos"/>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2026-09-05T17:19:00.078Z</dcterms:created>
  <dcterms:modified xsi:type="dcterms:W3CDTF">2026-09-05T17:19:00.079Z</dcterms:modified>
</cp:coreProperties>
</file>

<file path=docProps/custom.xml><?xml version="1.0" encoding="utf-8"?>
<Properties xmlns="http://schemas.openxmlformats.org/officeDocument/2006/custom-properties" xmlns:vt="http://schemas.openxmlformats.org/officeDocument/2006/docPropsVTypes"/>
</file>