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259"/>
      </w:pPr>
      <w:r>
        <w:rPr>
          <w:rFonts w:ascii="Aptos" w:cs="Aptos" w:eastAsia="Aptos" w:hAnsi="Aptos"/>
          <w:b/>
          <w:bCs/>
          <w:sz w:val="40"/>
          <w:szCs w:val="40"/>
        </w:rPr>
        <w:t xml:space="preserve">Makroøkonomisk Landeanalyse af Japan</w:t>
      </w:r>
    </w:p>
    <w:p>
      <w:pPr>
        <w:spacing w:after="160" w:before="320" w:line="259"/>
      </w:pPr>
      <w:r>
        <w:rPr>
          <w:rFonts w:ascii="Aptos" w:cs="Aptos" w:eastAsia="Aptos" w:hAnsi="Aptos"/>
          <w:b/>
          <w:bCs/>
          <w:sz w:val="22"/>
          <w:szCs w:val="22"/>
        </w:rPr>
        <w:t xml:space="preserve">Den økonomiske vækst i Japan:</w:t>
      </w:r>
    </w:p>
    <w:p>
      <w:pPr>
        <w:spacing w:after="200" w:line="259"/>
      </w:pPr>
      <w:r>
        <w:rPr>
          <w:rFonts w:ascii="Aptos" w:cs="Aptos" w:eastAsia="Aptos" w:hAnsi="Aptos"/>
          <w:sz w:val="22"/>
          <w:szCs w:val="22"/>
        </w:rPr>
        <w:t xml:space="preserve">Japans BNP voksede i 2021 med 2,2 % og har siden ligget i niveauet 0,9-1,7 %. Ud fra en makroøkonomisk landeanalyse, hvor en stabil vækst ligger på 1-2 %, og en vækst under 1 % vil sige lavkonjunktur, er Japan i den nedre ende af dette ”normale” interval. Hermed er væksten i samfundet ikke ekstrem, men mere stille og stabil.</w:t>
      </w:r>
    </w:p>
    <w:p>
      <w:pPr>
        <w:spacing w:after="200" w:line="259"/>
      </w:pPr>
      <w:r>
        <w:rPr>
          <w:rFonts w:ascii="Aptos" w:cs="Aptos" w:eastAsia="Aptos" w:hAnsi="Aptos"/>
          <w:sz w:val="22"/>
          <w:szCs w:val="22"/>
        </w:rPr>
        <w:t xml:space="preserve">Kigger man på, hvad væksten egentlig kommer af, ser man noget interessant. Det private forbrug fylder 54 % af Japans BNP, men vokser kun omkring 0,7 % om året. Det er investeringerne og eksporten, der trækker væksten. Altså er det udlandet og virksomhederne, der driver Japans økonomi — ikke japanerne selv.</w:t>
      </w:r>
    </w:p>
    <w:p>
      <w:pPr>
        <w:spacing w:after="160" w:before="320" w:line="259"/>
      </w:pPr>
      <w:r>
        <w:rPr>
          <w:rFonts w:ascii="Aptos" w:cs="Aptos" w:eastAsia="Aptos" w:hAnsi="Aptos"/>
          <w:b/>
          <w:bCs/>
          <w:sz w:val="22"/>
          <w:szCs w:val="22"/>
        </w:rPr>
        <w:t xml:space="preserve">Deflation til importeret inflation:</w:t>
      </w:r>
    </w:p>
    <w:p>
      <w:pPr>
        <w:spacing w:after="200" w:line="259"/>
      </w:pPr>
      <w:r>
        <w:rPr>
          <w:rFonts w:ascii="Aptos" w:cs="Aptos" w:eastAsia="Aptos" w:hAnsi="Aptos"/>
          <w:sz w:val="22"/>
          <w:szCs w:val="22"/>
        </w:rPr>
        <w:t xml:space="preserve">Japan har i mange år haft deflation, altså at priserne faldt. I 2021 faldt forbrugerpriserne stadig med 0,2 %. Men i 2022 sker der noget nyt: forbrugerpriserne stiger med 2,5 %, mens kerneinflationen kun stiger med 0,3 %.</w:t>
      </w:r>
    </w:p>
    <w:p>
      <w:pPr>
        <w:spacing w:after="200" w:line="259"/>
      </w:pPr>
      <w:r>
        <w:rPr>
          <w:rFonts w:ascii="Aptos" w:cs="Aptos" w:eastAsia="Aptos" w:hAnsi="Aptos"/>
          <w:sz w:val="22"/>
          <w:szCs w:val="22"/>
        </w:rPr>
        <w:t xml:space="preserve">Kerneinflationen er inflationen uden energi og mad. Når der er så stor forskel på de to tal, betyder det, at prisstigningerne ikke kom fra Japan selv, men udefra. Det kalder man importeret inflation. Grunden var, at energipriserne steg i hele verden, og at yennen samtidig blev svagere — fra ca. 110 yen pr. dollar i 2021 til ca. 151 yen pr. dollar i 2024. Når yennen er svag, bliver alt det, Japan køber i udlandet, dyrere.</w:t>
      </w:r>
    </w:p>
    <w:p>
      <w:pPr>
        <w:spacing w:after="200" w:line="259"/>
      </w:pPr>
      <w:r>
        <w:rPr>
          <w:rFonts w:ascii="Aptos" w:cs="Aptos" w:eastAsia="Aptos" w:hAnsi="Aptos"/>
          <w:sz w:val="22"/>
          <w:szCs w:val="22"/>
        </w:rPr>
        <w:t xml:space="preserve">I 2023 stiger kerneinflationen til 2,7 %. Nu er de dyrere importvarer altså slået igennem i resten af økonomien.</w:t>
      </w:r>
    </w:p>
    <w:p>
      <w:pPr>
        <w:spacing w:after="160" w:before="320" w:line="259"/>
      </w:pPr>
      <w:r>
        <w:rPr>
          <w:rFonts w:ascii="Aptos" w:cs="Aptos" w:eastAsia="Aptos" w:hAnsi="Aptos"/>
          <w:b/>
          <w:bCs/>
          <w:sz w:val="22"/>
          <w:szCs w:val="22"/>
        </w:rPr>
        <w:t xml:space="preserve">Kausalkæde 1: Fra svag yen til svagt forbrug</w:t>
      </w:r>
    </w:p>
    <w:p>
      <w:pPr>
        <w:spacing w:after="200" w:line="259"/>
        <w:ind w:left="340"/>
      </w:pPr>
      <w:r>
        <w:rPr>
          <w:rFonts w:ascii="Aptos" w:cs="Aptos" w:eastAsia="Aptos" w:hAnsi="Aptos"/>
          <w:i/>
          <w:iCs/>
          <w:sz w:val="22"/>
          <w:szCs w:val="22"/>
        </w:rPr>
        <w:t xml:space="preserve">Svag yen → import bliver dyrere → forbrugerpriserne stiger → lønnen stiger ikke lige så meget → japanerne kan købe mindre for deres løn → de bruger af opsparingen for at holde forbruget → opsparingen falder fra 7,7 % til 1,8 % → forbruget vokser alligevel kun 0,7 %</w:t>
      </w:r>
    </w:p>
    <w:p>
      <w:pPr>
        <w:spacing w:after="200" w:line="259"/>
      </w:pPr>
      <w:r>
        <w:rPr>
          <w:rFonts w:ascii="Aptos" w:cs="Aptos" w:eastAsia="Aptos" w:hAnsi="Aptos"/>
          <w:sz w:val="22"/>
          <w:szCs w:val="22"/>
        </w:rPr>
        <w:t xml:space="preserve">Det vigtige her er, at det ikke kan blive ved. Når opsparingen er nede på 1,8 %, er der næsten ikke mere at tage af. Stiger priserne igen, går det direkte ud over forbruget.</w:t>
      </w:r>
    </w:p>
    <w:p>
      <w:pPr>
        <w:spacing w:after="160" w:before="320" w:line="259"/>
      </w:pPr>
      <w:r>
        <w:rPr>
          <w:rFonts w:ascii="Aptos" w:cs="Aptos" w:eastAsia="Aptos" w:hAnsi="Aptos"/>
          <w:b/>
          <w:bCs/>
          <w:sz w:val="22"/>
          <w:szCs w:val="22"/>
        </w:rPr>
        <w:t xml:space="preserve">Arbejdsløshed:</w:t>
      </w:r>
    </w:p>
    <w:p>
      <w:pPr>
        <w:spacing w:after="200" w:line="259"/>
      </w:pPr>
      <w:r>
        <w:rPr>
          <w:rFonts w:ascii="Aptos" w:cs="Aptos" w:eastAsia="Aptos" w:hAnsi="Aptos"/>
          <w:sz w:val="22"/>
          <w:szCs w:val="22"/>
        </w:rPr>
        <w:t xml:space="preserve">Arbejdsløsheden i Japan er faldet fra 2,8 % i 2021 til 2,4 % i 2025. Normalt siger man, at der er fuld beskæftigelse ved 3-4 %, så Japan ligger under det. Det lyder godt, men det er ikke kun godt.</w:t>
      </w:r>
    </w:p>
    <w:p>
      <w:pPr>
        <w:spacing w:after="200" w:line="259"/>
      </w:pPr>
      <w:r>
        <w:rPr>
          <w:rFonts w:ascii="Aptos" w:cs="Aptos" w:eastAsia="Aptos" w:hAnsi="Aptos"/>
          <w:sz w:val="22"/>
          <w:szCs w:val="22"/>
        </w:rPr>
        <w:t xml:space="preserve">Når arbejdsløsheden er så lav, mangler virksomhederne arbejdskraft, og så burde de sætte lønnen op for at få fat i folk. Det sker bare ikke rigtigt i Japan. Grunden er, at befolkningen bliver ældre, og at der bliver født færre børn. Derfor bliver arbejdsstyrken mindre — men virksomhedernes behov for arbejdskraft falder også. Så der er ikke rigtig kamp om medarbejderne, selvom tallet ser lavt ud.</w:t>
      </w:r>
    </w:p>
    <w:p>
      <w:pPr>
        <w:spacing w:after="160" w:before="320" w:line="259"/>
      </w:pPr>
      <w:r>
        <w:rPr>
          <w:rFonts w:ascii="Aptos" w:cs="Aptos" w:eastAsia="Aptos" w:hAnsi="Aptos"/>
          <w:b/>
          <w:bCs/>
          <w:sz w:val="22"/>
          <w:szCs w:val="22"/>
        </w:rPr>
        <w:t xml:space="preserve">Kausalkæde 2: Fra demografi til manglende lønstigninger</w:t>
      </w:r>
    </w:p>
    <w:p>
      <w:pPr>
        <w:spacing w:after="200" w:line="259"/>
        <w:ind w:left="340"/>
      </w:pPr>
      <w:r>
        <w:rPr>
          <w:rFonts w:ascii="Aptos" w:cs="Aptos" w:eastAsia="Aptos" w:hAnsi="Aptos"/>
          <w:i/>
          <w:iCs/>
          <w:sz w:val="22"/>
          <w:szCs w:val="22"/>
        </w:rPr>
        <w:t xml:space="preserve">Færre børn og en ældre befolkning → arbejdsstyrken bliver mindre → der er færre ledige → arbejdsløsheden falder til 2,4 % → men virksomhederne har heller ikke brug for flere ansatte → der opstår ikke kamp om arbejdskraften → lønnen stiger ikke særlig meget → forbruget stiger ikke</w:t>
      </w:r>
    </w:p>
    <w:p>
      <w:pPr>
        <w:spacing w:after="160" w:before="320" w:line="259"/>
      </w:pPr>
      <w:r>
        <w:rPr>
          <w:rFonts w:ascii="Aptos" w:cs="Aptos" w:eastAsia="Aptos" w:hAnsi="Aptos"/>
          <w:b/>
          <w:bCs/>
          <w:sz w:val="22"/>
          <w:szCs w:val="22"/>
        </w:rPr>
        <w:t xml:space="preserve">Offentlig gæld:</w:t>
      </w:r>
    </w:p>
    <w:p>
      <w:pPr>
        <w:spacing w:after="200" w:line="259"/>
      </w:pPr>
      <w:r>
        <w:rPr>
          <w:rFonts w:ascii="Aptos" w:cs="Aptos" w:eastAsia="Aptos" w:hAnsi="Aptos"/>
          <w:sz w:val="22"/>
          <w:szCs w:val="22"/>
        </w:rPr>
        <w:t xml:space="preserve">Japans offentlige gæld er på ca. 244 % af BNP. Til sammenligning siger tommelfingerreglen, at gælden højst bør ligge omkring 60 % af BNP. Japan ligger altså fire gange over.</w:t>
      </w:r>
    </w:p>
    <w:p>
      <w:pPr>
        <w:spacing w:after="200" w:line="259"/>
      </w:pPr>
      <w:r>
        <w:rPr>
          <w:rFonts w:ascii="Aptos" w:cs="Aptos" w:eastAsia="Aptos" w:hAnsi="Aptos"/>
          <w:sz w:val="22"/>
          <w:szCs w:val="22"/>
        </w:rPr>
        <w:t xml:space="preserve">Alligevel vokser gælden ikke rigtig. Det skyldes inflationen: når priserne stiger, vokser BNP målt i penge, og så fylder gælden relativt mindre. Men det betyder også, at det hele hænger på, at renten bliver ved med at være lav. Bank of Japan er begyndt at sætte renten op, og stiger renten med 1 procentpoint, skal Japan på sigt betale ca. 2,4 % af BNP mere i renter hvert år.</w:t>
      </w:r>
    </w:p>
    <w:p>
      <w:pPr>
        <w:spacing w:after="160" w:before="320" w:line="259"/>
      </w:pPr>
      <w:r>
        <w:rPr>
          <w:rFonts w:ascii="Aptos" w:cs="Aptos" w:eastAsia="Aptos" w:hAnsi="Aptos"/>
          <w:b/>
          <w:bCs/>
          <w:sz w:val="22"/>
          <w:szCs w:val="22"/>
        </w:rPr>
        <w:t xml:space="preserve">Delkonklusion:</w:t>
      </w:r>
    </w:p>
    <w:p>
      <w:pPr>
        <w:spacing w:after="200" w:line="259"/>
      </w:pPr>
      <w:r>
        <w:rPr>
          <w:rFonts w:ascii="Aptos" w:cs="Aptos" w:eastAsia="Aptos" w:hAnsi="Aptos"/>
          <w:sz w:val="22"/>
          <w:szCs w:val="22"/>
        </w:rPr>
        <w:t xml:space="preserve">Japans tal ser fine ud, hvis man kigger på dem ét ad gangen: væksten er stabil, arbejdsløsheden er lav, og inflationen ligger omkring 2 %. Men sætter man dem sammen, ser man tre problemer. Væksten kommer fra udlandet og ikke fra japanerne selv. Den svage yen har gjort alting dyrere, uden at lønnen er fulgt med. Og den meget store gæld kan kun holdes, så længe renten er lav.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2026-09-05T17:03:21.059Z</dcterms:created>
  <dcterms:modified xsi:type="dcterms:W3CDTF">2026-09-05T17:03:21.072Z</dcterms:modified>
</cp:coreProperties>
</file>

<file path=docProps/custom.xml><?xml version="1.0" encoding="utf-8"?>
<Properties xmlns="http://schemas.openxmlformats.org/officeDocument/2006/custom-properties" xmlns:vt="http://schemas.openxmlformats.org/officeDocument/2006/docPropsVTypes"/>
</file>