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259"/>
      </w:pPr>
      <w:r>
        <w:rPr>
          <w:rFonts w:ascii="Aptos" w:cs="Aptos" w:eastAsia="Aptos" w:hAnsi="Aptos"/>
          <w:b/>
          <w:bCs/>
          <w:sz w:val="30"/>
          <w:szCs w:val="30"/>
        </w:rPr>
        <w:t xml:space="preserve">Vurdering af statsgældens betydning for konkurrenceevnen</w:t>
      </w:r>
    </w:p>
    <w:p>
      <w:pPr>
        <w:spacing w:after="170" w:line="259"/>
      </w:pPr>
      <w:r>
        <w:rPr>
          <w:rFonts w:ascii="Aptos" w:cs="Aptos" w:eastAsia="Aptos" w:hAnsi="Aptos"/>
          <w:sz w:val="22"/>
          <w:szCs w:val="22"/>
        </w:rPr>
        <w:t xml:space="preserve">Japans statsgæld på ca. 244 % af BNP påvirker konkurrenceevnen i to modsatte retninger, og det må vurderes, at ulemperne vejer tungest.</w:t>
      </w:r>
    </w:p>
    <w:p>
      <w:pPr>
        <w:spacing w:after="170" w:line="259"/>
      </w:pPr>
      <w:r>
        <w:rPr>
          <w:rFonts w:ascii="Aptos" w:cs="Aptos" w:eastAsia="Aptos" w:hAnsi="Aptos"/>
          <w:sz w:val="22"/>
          <w:szCs w:val="22"/>
        </w:rPr>
        <w:t xml:space="preserve">På den ene side har gælden forbedret priskonkurrenceevnen. Fordi gælden binder Bank of Japan til en lav rente, er yennen svækket omkring 27 % fra 2021 til 2024, og japanske varer er dermed blevet billigere for udlandet </w:t>
      </w:r>
      <w:r>
        <w:rPr>
          <w:rFonts w:ascii="Aptos" w:cs="Aptos" w:eastAsia="Aptos" w:hAnsi="Aptos"/>
          <w:b/>
          <w:bCs/>
          <w:color w:val="C00000"/>
          <w:sz w:val="22"/>
          <w:szCs w:val="22"/>
        </w:rPr>
        <w:t xml:space="preserve">[KILDE]</w:t>
      </w:r>
      <w:r>
        <w:rPr>
          <w:rFonts w:ascii="Aptos" w:cs="Aptos" w:eastAsia="Aptos" w:hAnsi="Aptos"/>
          <w:sz w:val="22"/>
          <w:szCs w:val="22"/>
        </w:rPr>
        <w:t xml:space="preserve">. Den fordel er dog hverken opnået gennem højere produktivitet eller varig. Den forsvinder, så snart renten normaliseres, og den har samtidig kostet japanerne købekraft gennem dyrere import.</w:t>
      </w:r>
    </w:p>
    <w:p>
      <w:pPr>
        <w:spacing w:after="170" w:line="259"/>
      </w:pPr>
      <w:r>
        <w:rPr>
          <w:rFonts w:ascii="Aptos" w:cs="Aptos" w:eastAsia="Aptos" w:hAnsi="Aptos"/>
          <w:sz w:val="22"/>
          <w:szCs w:val="22"/>
        </w:rPr>
        <w:t xml:space="preserve">På den anden side svækker gælden den strukturelle konkurrenceevne. Renteudgifter og finanspolitisk opstramning fortrænger investeringer i uddannelse, forskning og infrastruktur. Det ses ved, at det offentlige forbrug er gået fra en vækst på 3,5 % i 2021 til −0,3 % i 2024 </w:t>
      </w:r>
      <w:r>
        <w:rPr>
          <w:rFonts w:ascii="Aptos" w:cs="Aptos" w:eastAsia="Aptos" w:hAnsi="Aptos"/>
          <w:b/>
          <w:bCs/>
          <w:color w:val="C00000"/>
          <w:sz w:val="22"/>
          <w:szCs w:val="22"/>
        </w:rPr>
        <w:t xml:space="preserve">[KILDE]</w:t>
      </w:r>
      <w:r>
        <w:rPr>
          <w:rFonts w:ascii="Aptos" w:cs="Aptos" w:eastAsia="Aptos" w:hAnsi="Aptos"/>
          <w:sz w:val="22"/>
          <w:szCs w:val="22"/>
        </w:rPr>
        <w:t xml:space="preserve">.</w:t>
      </w:r>
    </w:p>
    <w:p>
      <w:pPr>
        <w:spacing w:after="170" w:line="259"/>
      </w:pPr>
      <w:r>
        <w:rPr>
          <w:rFonts w:ascii="Aptos" w:cs="Aptos" w:eastAsia="Aptos" w:hAnsi="Aptos"/>
          <w:sz w:val="22"/>
          <w:szCs w:val="22"/>
        </w:rPr>
        <w:t xml:space="preserve">Det sidste vurderes at veje tungest, fordi Japans arbejdsstyrke skrumper. Når der bliver færre til at arbejde, kan væksten på længere sigt kun komme fra højere produktivitet — og det er netop dér, gælden binder handlerummet. Samlet vurderes statsgælden derfor at udgøre en reel trussel mod Japans konkurrenceevne på sigt, selv om den på kort sigt har set ud som en fordel.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2026-09-22T08:27:49.396Z</dcterms:created>
  <dcterms:modified xsi:type="dcterms:W3CDTF">2026-09-22T08:27:49.396Z</dcterms:modified>
</cp:coreProperties>
</file>

<file path=docProps/custom.xml><?xml version="1.0" encoding="utf-8"?>
<Properties xmlns="http://schemas.openxmlformats.org/officeDocument/2006/custom-properties" xmlns:vt="http://schemas.openxmlformats.org/officeDocument/2006/docPropsVTypes"/>
</file>