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259"/>
      </w:pPr>
      <w:r>
        <w:rPr>
          <w:rFonts w:ascii="Aptos" w:cs="Aptos" w:eastAsia="Aptos" w:hAnsi="Aptos"/>
          <w:b/>
          <w:bCs/>
          <w:sz w:val="36"/>
          <w:szCs w:val="36"/>
        </w:rPr>
        <w:t xml:space="preserve">Statsgældens betydning for Japans konkurrenceevne</w:t>
      </w:r>
    </w:p>
    <w:p>
      <w:pPr>
        <w:spacing w:after="180" w:line="259"/>
      </w:pPr>
      <w:r>
        <w:rPr>
          <w:rFonts w:ascii="Aptos" w:cs="Aptos" w:eastAsia="Aptos" w:hAnsi="Aptos"/>
          <w:sz w:val="22"/>
          <w:szCs w:val="22"/>
        </w:rPr>
        <w:t xml:space="preserve">For at svare på spørgsmålet er man nødt til at skelne mellem to former for konkurrenceevne. Priskonkurrenceevnen handler om, hvor billige et lands varer er for udenlandske købere, og afhænger især af lønomkostninger og valutakurs. Den strukturelle konkurrenceevne handler om alt det andet: uddannelsesniveau, forskning, infrastruktur og produktivitet </w:t>
      </w:r>
      <w:r>
        <w:rPr>
          <w:rFonts w:ascii="Aptos" w:cs="Aptos" w:eastAsia="Aptos" w:hAnsi="Aptos"/>
          <w:b/>
          <w:bCs/>
          <w:color w:val="C00000"/>
          <w:sz w:val="22"/>
          <w:szCs w:val="22"/>
        </w:rPr>
        <w:t xml:space="preserve">[KILDE]</w:t>
      </w:r>
      <w:r>
        <w:rPr>
          <w:rFonts w:ascii="Aptos" w:cs="Aptos" w:eastAsia="Aptos" w:hAnsi="Aptos"/>
          <w:sz w:val="22"/>
          <w:szCs w:val="22"/>
        </w:rPr>
        <w:t xml:space="preserve">. Japans statsgæld påvirker de to former i hver sin retning, og det er kernen i svaret.</w:t>
      </w:r>
    </w:p>
    <w:p>
      <w:pPr>
        <w:spacing w:after="140" w:before="300" w:line="259"/>
      </w:pPr>
      <w:r>
        <w:rPr>
          <w:rFonts w:ascii="Aptos" w:cs="Aptos" w:eastAsia="Aptos" w:hAnsi="Aptos"/>
          <w:b/>
          <w:bCs/>
          <w:sz w:val="22"/>
          <w:szCs w:val="22"/>
        </w:rPr>
        <w:t xml:space="preserve">Gælden holder renten nede og yennen svag</w:t>
      </w:r>
    </w:p>
    <w:p>
      <w:pPr>
        <w:spacing w:after="180" w:line="259"/>
      </w:pPr>
      <w:r>
        <w:rPr>
          <w:rFonts w:ascii="Aptos" w:cs="Aptos" w:eastAsia="Aptos" w:hAnsi="Aptos"/>
          <w:sz w:val="22"/>
          <w:szCs w:val="22"/>
        </w:rPr>
        <w:t xml:space="preserve">Japans offentlige gæld er på ca. 244 % af BNP </w:t>
      </w:r>
      <w:r>
        <w:rPr>
          <w:rFonts w:ascii="Aptos" w:cs="Aptos" w:eastAsia="Aptos" w:hAnsi="Aptos"/>
          <w:b/>
          <w:bCs/>
          <w:color w:val="C00000"/>
          <w:sz w:val="22"/>
          <w:szCs w:val="22"/>
        </w:rPr>
        <w:t xml:space="preserve">[KILDE]</w:t>
      </w:r>
      <w:r>
        <w:rPr>
          <w:rFonts w:ascii="Aptos" w:cs="Aptos" w:eastAsia="Aptos" w:hAnsi="Aptos"/>
          <w:sz w:val="22"/>
          <w:szCs w:val="22"/>
        </w:rPr>
        <w:t xml:space="preserve">. En gæld af den størrelse binder pengepolitikken. Bank of Japan kan ikke frit hæve renten, fordi staten skal kunne betale af på gælden, og fordi hvert procentpoint i højere gennemsnitsrente på sigt koster ca. 2,4 % af BNP i ekstra renteudgifter </w:t>
      </w:r>
      <w:r>
        <w:rPr>
          <w:rFonts w:ascii="Aptos" w:cs="Aptos" w:eastAsia="Aptos" w:hAnsi="Aptos"/>
          <w:b/>
          <w:bCs/>
          <w:color w:val="C00000"/>
          <w:sz w:val="22"/>
          <w:szCs w:val="22"/>
        </w:rPr>
        <w:t xml:space="preserve">[KILDE]</w:t>
      </w:r>
      <w:r>
        <w:rPr>
          <w:rFonts w:ascii="Aptos" w:cs="Aptos" w:eastAsia="Aptos" w:hAnsi="Aptos"/>
          <w:sz w:val="22"/>
          <w:szCs w:val="22"/>
        </w:rPr>
        <w:t xml:space="preserve">. Derfor har Japan haft en styringsrente på −0,1 % i årevis, mens andre lande hævede deres renter </w:t>
      </w:r>
      <w:r>
        <w:rPr>
          <w:rFonts w:ascii="Aptos" w:cs="Aptos" w:eastAsia="Aptos" w:hAnsi="Aptos"/>
          <w:b/>
          <w:bCs/>
          <w:color w:val="C00000"/>
          <w:sz w:val="22"/>
          <w:szCs w:val="22"/>
        </w:rPr>
        <w:t xml:space="preserve">[KILDE]</w:t>
      </w:r>
      <w:r>
        <w:rPr>
          <w:rFonts w:ascii="Aptos" w:cs="Aptos" w:eastAsia="Aptos" w:hAnsi="Aptos"/>
          <w:sz w:val="22"/>
          <w:szCs w:val="22"/>
        </w:rPr>
        <w:t xml:space="preserve">.</w:t>
      </w:r>
    </w:p>
    <w:p>
      <w:pPr>
        <w:spacing w:after="180" w:line="259"/>
      </w:pPr>
      <w:r>
        <w:rPr>
          <w:rFonts w:ascii="Aptos" w:cs="Aptos" w:eastAsia="Aptos" w:hAnsi="Aptos"/>
          <w:sz w:val="22"/>
          <w:szCs w:val="22"/>
        </w:rPr>
        <w:t xml:space="preserve">Den renteforskel har svækket yennen. Når man kan få et højere afkast ved at placere penge i dollar end i yen, falder efterspørgslen efter yen. Yenkursen gik fra ca. 110 yen pr. dollar i 2021 til ca. 151 yen pr. dollar i 2024, altså en svækkelse på omkring 27 % </w:t>
      </w:r>
      <w:r>
        <w:rPr>
          <w:rFonts w:ascii="Aptos" w:cs="Aptos" w:eastAsia="Aptos" w:hAnsi="Aptos"/>
          <w:b/>
          <w:bCs/>
          <w:color w:val="C00000"/>
          <w:sz w:val="22"/>
          <w:szCs w:val="22"/>
        </w:rPr>
        <w:t xml:space="preserve">[KILDE]</w:t>
      </w:r>
      <w:r>
        <w:rPr>
          <w:rFonts w:ascii="Aptos" w:cs="Aptos" w:eastAsia="Aptos" w:hAnsi="Aptos"/>
          <w:sz w:val="22"/>
          <w:szCs w:val="22"/>
        </w:rPr>
        <w:t xml:space="preserve">. En svagere valuta gør japanske varer billigere for udlandet, og priskonkurrenceevnen forbedres derfor.</w:t>
      </w:r>
    </w:p>
    <w:p>
      <w:pPr>
        <w:spacing w:after="180" w:line="259"/>
      </w:pPr>
      <w:r>
        <w:rPr>
          <w:rFonts w:ascii="Aptos" w:cs="Aptos" w:eastAsia="Aptos" w:hAnsi="Aptos"/>
          <w:sz w:val="22"/>
          <w:szCs w:val="22"/>
        </w:rPr>
        <w:t xml:space="preserve">Det giver et resultat, som umiddelbart virker bagvendt:</w:t>
      </w:r>
    </w:p>
    <w:p>
      <w:pPr>
        <w:spacing w:after="200" w:line="259"/>
        <w:ind w:left="340"/>
      </w:pPr>
      <w:r>
        <w:rPr>
          <w:rFonts w:ascii="Aptos" w:cs="Aptos" w:eastAsia="Aptos" w:hAnsi="Aptos"/>
          <w:i/>
          <w:iCs/>
          <w:sz w:val="22"/>
          <w:szCs w:val="22"/>
        </w:rPr>
        <w:t xml:space="preserve">Meget høj statsgæld → Bank of Japan kan ikke hæve renten → renteforskellen til udlandet vokser → yennen svækkes → japanske varer bliver billigere for udlandet → priskonkurrenceevnen forbedres</w:t>
      </w:r>
    </w:p>
    <w:p>
      <w:pPr>
        <w:spacing w:after="180" w:line="259"/>
      </w:pPr>
      <w:r>
        <w:rPr>
          <w:rFonts w:ascii="Aptos" w:cs="Aptos" w:eastAsia="Aptos" w:hAnsi="Aptos"/>
          <w:sz w:val="22"/>
          <w:szCs w:val="22"/>
        </w:rPr>
        <w:t xml:space="preserve">Gælden har altså på kort sigt været med til at forbedre Japans priskonkurrenceevne. Men det er ikke en fordel, landet selv har valgt eller arbejdet sig til. Konkurrenceevnen er ikke forbedret, fordi japanske virksomheder er blevet mere produktive, men fordi valutaen er blevet mindre værd. Samtidig er det netop den svage yen, der har gjort importen dyr og presset japanernes købekraft.</w:t>
      </w:r>
    </w:p>
    <w:p>
      <w:pPr>
        <w:spacing w:after="140" w:before="300" w:line="259"/>
      </w:pPr>
      <w:r>
        <w:rPr>
          <w:rFonts w:ascii="Aptos" w:cs="Aptos" w:eastAsia="Aptos" w:hAnsi="Aptos"/>
          <w:b/>
          <w:bCs/>
          <w:sz w:val="22"/>
          <w:szCs w:val="22"/>
        </w:rPr>
        <w:t xml:space="preserve">Renteudgifterne fortrænger fremtidsinvesteringer</w:t>
      </w:r>
    </w:p>
    <w:p>
      <w:pPr>
        <w:spacing w:after="180" w:line="259"/>
      </w:pPr>
      <w:r>
        <w:rPr>
          <w:rFonts w:ascii="Aptos" w:cs="Aptos" w:eastAsia="Aptos" w:hAnsi="Aptos"/>
          <w:sz w:val="22"/>
          <w:szCs w:val="22"/>
        </w:rPr>
        <w:t xml:space="preserve">På længere sigt trækker gælden den anden vej. Penge, der bruges på at betale renter, kan ikke bruges på noget andet. Det kaldes fortrængning, og det rammer præcis de områder, som den strukturelle konkurrenceevne bygger på: uddannelse, forskning og infrastruktur.</w:t>
      </w:r>
    </w:p>
    <w:p>
      <w:pPr>
        <w:spacing w:after="180" w:line="259"/>
      </w:pPr>
      <w:r>
        <w:rPr>
          <w:rFonts w:ascii="Aptos" w:cs="Aptos" w:eastAsia="Aptos" w:hAnsi="Aptos"/>
          <w:sz w:val="22"/>
          <w:szCs w:val="22"/>
        </w:rPr>
        <w:t xml:space="preserve">Man kan se stramningen i tallene. Det offentlige forbrug voksede 3,5 % i 2021, hvor der blev ført ekspansiv finanspolitik under coronapandemien, men faldt derefter til 0,5 % i 2023 og −0,3 % i 2024 </w:t>
      </w:r>
      <w:r>
        <w:rPr>
          <w:rFonts w:ascii="Aptos" w:cs="Aptos" w:eastAsia="Aptos" w:hAnsi="Aptos"/>
          <w:b/>
          <w:bCs/>
          <w:color w:val="C00000"/>
          <w:sz w:val="22"/>
          <w:szCs w:val="22"/>
        </w:rPr>
        <w:t xml:space="preserve">[KILDE]</w:t>
      </w:r>
      <w:r>
        <w:rPr>
          <w:rFonts w:ascii="Aptos" w:cs="Aptos" w:eastAsia="Aptos" w:hAnsi="Aptos"/>
          <w:sz w:val="22"/>
          <w:szCs w:val="22"/>
        </w:rPr>
        <w:t xml:space="preserve">. Japan har altså skullet stramme op for at få underskuddet ned fra 6,2 % til 3,3 % af BNP </w:t>
      </w:r>
      <w:r>
        <w:rPr>
          <w:rFonts w:ascii="Aptos" w:cs="Aptos" w:eastAsia="Aptos" w:hAnsi="Aptos"/>
          <w:b/>
          <w:bCs/>
          <w:color w:val="C00000"/>
          <w:sz w:val="22"/>
          <w:szCs w:val="22"/>
        </w:rPr>
        <w:t xml:space="preserve">[KILDE]</w:t>
      </w:r>
      <w:r>
        <w:rPr>
          <w:rFonts w:ascii="Aptos" w:cs="Aptos" w:eastAsia="Aptos" w:hAnsi="Aptos"/>
          <w:sz w:val="22"/>
          <w:szCs w:val="22"/>
        </w:rPr>
        <w:t xml:space="preserve">. Det handlerum, Japan kunne have brugt på at styrke produktiviteten, går i stedet til at holde gælden i ro.</w:t>
      </w:r>
    </w:p>
    <w:p>
      <w:pPr>
        <w:spacing w:after="180" w:line="259"/>
      </w:pPr>
      <w:r>
        <w:rPr>
          <w:rFonts w:ascii="Aptos" w:cs="Aptos" w:eastAsia="Aptos" w:hAnsi="Aptos"/>
          <w:sz w:val="22"/>
          <w:szCs w:val="22"/>
        </w:rPr>
        <w:t xml:space="preserve">Det er et alvorligt problem for et land med Japans demografi. Når arbejdsstyrken skrumper, kan væksten på sigt kun komme fra højere produktivitet pr. arbejdstime — og produktivitet er netop det, den strukturelle konkurrenceevne handler om.</w:t>
      </w:r>
    </w:p>
    <w:p>
      <w:pPr>
        <w:spacing w:after="140" w:before="300" w:line="259"/>
      </w:pPr>
      <w:r>
        <w:rPr>
          <w:rFonts w:ascii="Aptos" w:cs="Aptos" w:eastAsia="Aptos" w:hAnsi="Aptos"/>
          <w:b/>
          <w:bCs/>
          <w:sz w:val="22"/>
          <w:szCs w:val="22"/>
        </w:rPr>
        <w:t xml:space="preserve">Hvorfor der ikke er sket klassisk crowding out</w:t>
      </w:r>
    </w:p>
    <w:p>
      <w:pPr>
        <w:spacing w:after="180" w:line="259"/>
      </w:pPr>
      <w:r>
        <w:rPr>
          <w:rFonts w:ascii="Aptos" w:cs="Aptos" w:eastAsia="Aptos" w:hAnsi="Aptos"/>
          <w:sz w:val="22"/>
          <w:szCs w:val="22"/>
        </w:rPr>
        <w:t xml:space="preserve">Efter almindelig teori vil et stort statsligt lånebehov presse renten op og dermed fortrænge private investeringer. Det er ikke sket i Japan. De samlede investeringer voksede 2,6 % i 2024 og 2,8 % i 2025 og er den del af den indenlandske økonomi, der klarer sig bedst </w:t>
      </w:r>
      <w:r>
        <w:rPr>
          <w:rFonts w:ascii="Aptos" w:cs="Aptos" w:eastAsia="Aptos" w:hAnsi="Aptos"/>
          <w:b/>
          <w:bCs/>
          <w:color w:val="C00000"/>
          <w:sz w:val="22"/>
          <w:szCs w:val="22"/>
        </w:rPr>
        <w:t xml:space="preserve">[KILDE]</w:t>
      </w:r>
      <w:r>
        <w:rPr>
          <w:rFonts w:ascii="Aptos" w:cs="Aptos" w:eastAsia="Aptos" w:hAnsi="Aptos"/>
          <w:sz w:val="22"/>
          <w:szCs w:val="22"/>
        </w:rPr>
        <w:t xml:space="preserve">.</w:t>
      </w:r>
    </w:p>
    <w:p>
      <w:pPr>
        <w:spacing w:after="180" w:line="259"/>
      </w:pPr>
      <w:r>
        <w:rPr>
          <w:rFonts w:ascii="Aptos" w:cs="Aptos" w:eastAsia="Aptos" w:hAnsi="Aptos"/>
          <w:sz w:val="22"/>
          <w:szCs w:val="22"/>
        </w:rPr>
        <w:t xml:space="preserve">Forklaringen er, at Bank of Japan selv har opkøbt en stor del af statsobligationerne, og at gælden i overvejende grad er ejet af japanerne selv frem for af udenlandske investorer </w:t>
      </w:r>
      <w:r>
        <w:rPr>
          <w:rFonts w:ascii="Aptos" w:cs="Aptos" w:eastAsia="Aptos" w:hAnsi="Aptos"/>
          <w:b/>
          <w:bCs/>
          <w:color w:val="C00000"/>
          <w:sz w:val="22"/>
          <w:szCs w:val="22"/>
        </w:rPr>
        <w:t xml:space="preserve">[KILDE]</w:t>
      </w:r>
      <w:r>
        <w:rPr>
          <w:rFonts w:ascii="Aptos" w:cs="Aptos" w:eastAsia="Aptos" w:hAnsi="Aptos"/>
          <w:sz w:val="22"/>
          <w:szCs w:val="22"/>
        </w:rPr>
        <w:t xml:space="preserve">. Derfor har Japan kunnet bære en gæld på 244 % af BNP uden den rentestigning og den tillidskrise, andre lande ville have oplevet. Det er også grunden til, at bruttogælden overdriver problemets omfang: staten ejer selv store finansielle aktiver, så nettogælden er væsentligt lavere </w:t>
      </w:r>
      <w:r>
        <w:rPr>
          <w:rFonts w:ascii="Aptos" w:cs="Aptos" w:eastAsia="Aptos" w:hAnsi="Aptos"/>
          <w:b/>
          <w:bCs/>
          <w:color w:val="C00000"/>
          <w:sz w:val="22"/>
          <w:szCs w:val="22"/>
        </w:rPr>
        <w:t xml:space="preserve">[KILDE]</w:t>
      </w:r>
      <w:r>
        <w:rPr>
          <w:rFonts w:ascii="Aptos" w:cs="Aptos" w:eastAsia="Aptos" w:hAnsi="Aptos"/>
          <w:sz w:val="22"/>
          <w:szCs w:val="22"/>
        </w:rPr>
        <w:t xml:space="preserve">.</w:t>
      </w:r>
    </w:p>
    <w:p>
      <w:pPr>
        <w:spacing w:after="180" w:line="259"/>
      </w:pPr>
      <w:r>
        <w:rPr>
          <w:rFonts w:ascii="Aptos" w:cs="Aptos" w:eastAsia="Aptos" w:hAnsi="Aptos"/>
          <w:sz w:val="22"/>
          <w:szCs w:val="22"/>
        </w:rPr>
        <w:t xml:space="preserve">Gælden er med andre ord ikke et akut problem, men en binding. Den koster ikke Japan konkurrenceevne i dag — den koster landet muligheden for at gøre noget ved konkurrenceevnen i morgen.</w:t>
      </w:r>
    </w:p>
    <w:p>
      <w:pPr>
        <w:spacing w:after="140" w:before="300" w:line="259"/>
      </w:pPr>
      <w:r>
        <w:rPr>
          <w:rFonts w:ascii="Aptos" w:cs="Aptos" w:eastAsia="Aptos" w:hAnsi="Aptos"/>
          <w:b/>
          <w:bCs/>
          <w:sz w:val="22"/>
          <w:szCs w:val="22"/>
        </w:rPr>
        <w:t xml:space="preserve">Delkonklusion</w:t>
      </w:r>
    </w:p>
    <w:p>
      <w:pPr>
        <w:spacing w:after="180" w:line="259"/>
      </w:pPr>
      <w:r>
        <w:rPr>
          <w:rFonts w:ascii="Aptos" w:cs="Aptos" w:eastAsia="Aptos" w:hAnsi="Aptos"/>
          <w:sz w:val="22"/>
          <w:szCs w:val="22"/>
        </w:rPr>
        <w:t xml:space="preserve">Japans statsgæld påvirker konkurrenceevnen i to modsatte retninger. På kort sigt har den forbedret priskonkurrenceevnen, fordi gælden tvinger renten i bund og dermed holder yennen svag. På langt sigt svækker den den strukturelle konkurrenceevne, fordi renteudgifter og opstramning fortrænger investeringer i produktivitet.</w:t>
      </w:r>
    </w:p>
    <w:p>
      <w:pPr>
        <w:spacing w:after="180" w:line="259"/>
      </w:pPr>
      <w:r>
        <w:rPr>
          <w:rFonts w:ascii="Aptos" w:cs="Aptos" w:eastAsia="Aptos" w:hAnsi="Aptos"/>
          <w:sz w:val="22"/>
          <w:szCs w:val="22"/>
        </w:rPr>
        <w:t xml:space="preserve">Den forbedring, Japan har fået, er derfor både ufortjent og skrøbelig. Den bygger på en svag valuta frem for på højere produktivitet, og den forsvinder i det øjeblik renten normaliseres. Samtidig har den kostet japanerne købekraft gennem dyrere import. Om det er en holdbar strategi, behandles i diskussionen.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2026-09-22T08:25:57.621Z</dcterms:created>
  <dcterms:modified xsi:type="dcterms:W3CDTF">2026-09-22T08:25:57.634Z</dcterms:modified>
</cp:coreProperties>
</file>

<file path=docProps/custom.xml><?xml version="1.0" encoding="utf-8"?>
<Properties xmlns="http://schemas.openxmlformats.org/officeDocument/2006/custom-properties" xmlns:vt="http://schemas.openxmlformats.org/officeDocument/2006/docPropsVTypes"/>
</file>