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59"/>
      </w:pPr>
      <w:r>
        <w:rPr>
          <w:rFonts w:ascii="Aptos" w:cs="Aptos" w:eastAsia="Aptos" w:hAnsi="Aptos"/>
          <w:b/>
          <w:bCs/>
          <w:sz w:val="36"/>
          <w:szCs w:val="36"/>
        </w:rPr>
        <w:t xml:space="preserve">Analyse af rente, valutakurs og konkurrenceevne</w:t>
      </w:r>
    </w:p>
    <w:p>
      <w:pPr>
        <w:spacing w:after="140" w:before="300" w:line="259"/>
      </w:pPr>
      <w:r>
        <w:rPr>
          <w:rFonts w:ascii="Aptos" w:cs="Aptos" w:eastAsia="Aptos" w:hAnsi="Aptos"/>
          <w:b/>
          <w:bCs/>
          <w:sz w:val="22"/>
          <w:szCs w:val="22"/>
        </w:rPr>
        <w:t xml:space="preserve">Renteforhøjelsens virkninger i Japan</w:t>
      </w:r>
    </w:p>
    <w:p>
      <w:pPr>
        <w:spacing w:after="180" w:line="259"/>
      </w:pPr>
      <w:r>
        <w:rPr>
          <w:rFonts w:ascii="Aptos" w:cs="Aptos" w:eastAsia="Aptos" w:hAnsi="Aptos"/>
          <w:sz w:val="22"/>
          <w:szCs w:val="22"/>
        </w:rPr>
        <w:t xml:space="preserve">Bank of Japan har i mange år ført en meget lempelig pengepolitik med en styringsrente på −0,1 %. Fra 2024 er renten sat op ad flere omgange </w:t>
      </w:r>
      <w:r>
        <w:rPr>
          <w:rFonts w:ascii="Aptos" w:cs="Aptos" w:eastAsia="Aptos" w:hAnsi="Aptos"/>
          <w:b/>
          <w:bCs/>
          <w:color w:val="C00000"/>
          <w:sz w:val="22"/>
          <w:szCs w:val="22"/>
        </w:rPr>
        <w:t xml:space="preserve">[KILDE]</w:t>
      </w:r>
      <w:r>
        <w:rPr>
          <w:rFonts w:ascii="Aptos" w:cs="Aptos" w:eastAsia="Aptos" w:hAnsi="Aptos"/>
          <w:sz w:val="22"/>
          <w:szCs w:val="22"/>
        </w:rPr>
        <w:t xml:space="preserve">. Det er et markant skifte for en økonomi, der har vænnet sig til gratis kapital, og det påvirker Japan på flere modsatrettede måder.</w:t>
      </w:r>
    </w:p>
    <w:p>
      <w:pPr>
        <w:spacing w:after="180" w:line="259"/>
      </w:pPr>
      <w:r>
        <w:rPr>
          <w:rFonts w:ascii="Aptos" w:cs="Aptos" w:eastAsia="Aptos" w:hAnsi="Aptos"/>
          <w:sz w:val="22"/>
          <w:szCs w:val="22"/>
        </w:rPr>
        <w:t xml:space="preserve">Den tydeligste ulempe rammer statsfinanserne. Japans offentlige gæld er på ca. 244 % af BNP </w:t>
      </w:r>
      <w:r>
        <w:rPr>
          <w:rFonts w:ascii="Aptos" w:cs="Aptos" w:eastAsia="Aptos" w:hAnsi="Aptos"/>
          <w:b/>
          <w:bCs/>
          <w:color w:val="C00000"/>
          <w:sz w:val="22"/>
          <w:szCs w:val="22"/>
        </w:rPr>
        <w:t xml:space="preserve">[KILDE]</w:t>
      </w:r>
      <w:r>
        <w:rPr>
          <w:rFonts w:ascii="Aptos" w:cs="Aptos" w:eastAsia="Aptos" w:hAnsi="Aptos"/>
          <w:sz w:val="22"/>
          <w:szCs w:val="22"/>
        </w:rPr>
        <w:t xml:space="preserve">. Når renten stiger, bliver det dyrere for staten at låne og at refinansiere den eksisterende gæld. Stiger den gennemsnitlige rente på gælden med ét procentpoint, vil det på sigt betyde ekstra renteudgifter svarende til ca. 2,4 % af BNP om året. Til sammenligning har Japan brugt fem år på at forbedre den offentlige saldo fra et underskud på 6,2 % af BNP i 2021 til 3,3 % i 2025 — altså 2,9 procentpoint </w:t>
      </w:r>
      <w:r>
        <w:rPr>
          <w:rFonts w:ascii="Aptos" w:cs="Aptos" w:eastAsia="Aptos" w:hAnsi="Aptos"/>
          <w:b/>
          <w:bCs/>
          <w:color w:val="C00000"/>
          <w:sz w:val="22"/>
          <w:szCs w:val="22"/>
        </w:rPr>
        <w:t xml:space="preserve">[KILDE]</w:t>
      </w:r>
      <w:r>
        <w:rPr>
          <w:rFonts w:ascii="Aptos" w:cs="Aptos" w:eastAsia="Aptos" w:hAnsi="Aptos"/>
          <w:sz w:val="22"/>
          <w:szCs w:val="22"/>
        </w:rPr>
        <w:t xml:space="preserve">. Ét procentpoints rentestigning kan dermed stort set udligne fem års opstramning af finanspolitikken.</w:t>
      </w:r>
    </w:p>
    <w:p>
      <w:pPr>
        <w:spacing w:after="180" w:line="259"/>
      </w:pPr>
      <w:r>
        <w:rPr>
          <w:rFonts w:ascii="Aptos" w:cs="Aptos" w:eastAsia="Aptos" w:hAnsi="Aptos"/>
          <w:sz w:val="22"/>
          <w:szCs w:val="22"/>
        </w:rPr>
        <w:t xml:space="preserve">Den anden ulempe rammer investeringerne. En højere rente gør det dyrere for virksomhederne at låne, og det dæmper typisk investeringslysten. Det er problematisk for Japan, fordi investeringerne er den del af den indenlandske økonomi, der faktisk fungerer. Investeringerne voksede 2,6 % i 2024 og 2,8 % i 2025 og bidrog dermed med omkring 0,7 procentpoint til væksten — mere end det private forbrug, selv om forbruget fylder dobbelt så meget af BNP </w:t>
      </w:r>
      <w:r>
        <w:rPr>
          <w:rFonts w:ascii="Aptos" w:cs="Aptos" w:eastAsia="Aptos" w:hAnsi="Aptos"/>
          <w:b/>
          <w:bCs/>
          <w:color w:val="C00000"/>
          <w:sz w:val="22"/>
          <w:szCs w:val="22"/>
        </w:rPr>
        <w:t xml:space="preserve">[KILDE]</w:t>
      </w:r>
      <w:r>
        <w:rPr>
          <w:rFonts w:ascii="Aptos" w:cs="Aptos" w:eastAsia="Aptos" w:hAnsi="Aptos"/>
          <w:sz w:val="22"/>
          <w:szCs w:val="22"/>
        </w:rPr>
        <w:t xml:space="preserve">. En rentestigning rammer altså præcis den motor, der kører.</w:t>
      </w:r>
    </w:p>
    <w:p>
      <w:pPr>
        <w:spacing w:after="180" w:line="259"/>
      </w:pPr>
      <w:r>
        <w:rPr>
          <w:rFonts w:ascii="Aptos" w:cs="Aptos" w:eastAsia="Aptos" w:hAnsi="Aptos"/>
          <w:sz w:val="22"/>
          <w:szCs w:val="22"/>
        </w:rPr>
        <w:t xml:space="preserve">Dertil kommer en mindre synlig, men vigtig virkning. Gældskvoten er et forhold mellem gæld og BNP målt i løbende priser, og den påvirkes derfor af den nominelle BNP-vækst, altså realvæksten plus BNP-deflatoren. I 2022, hvor den nominelle vækst kun var 1,2 %, steg gældskvoten med 5,6 procentpoint. I 2023, hvor deflatoren steg til 3,5 % og den nominelle vækst dermed nåede 5,2 %, stabiliserede kvoten sig </w:t>
      </w:r>
      <w:r>
        <w:rPr>
          <w:rFonts w:ascii="Aptos" w:cs="Aptos" w:eastAsia="Aptos" w:hAnsi="Aptos"/>
          <w:b/>
          <w:bCs/>
          <w:color w:val="C00000"/>
          <w:sz w:val="22"/>
          <w:szCs w:val="22"/>
        </w:rPr>
        <w:t xml:space="preserve">[KILDE]</w:t>
      </w:r>
      <w:r>
        <w:rPr>
          <w:rFonts w:ascii="Aptos" w:cs="Aptos" w:eastAsia="Aptos" w:hAnsi="Aptos"/>
          <w:sz w:val="22"/>
          <w:szCs w:val="22"/>
        </w:rPr>
        <w:t xml:space="preserve">. Det er altså i høj grad inflationen, der har holdt den japanske statsgæld i skak. Hvis Bank of Japan sætter renten op for at dæmpe inflationen, fjerner de samtidig det, der har stabiliseret gældskvoten. Renteforhøjelsen rammer dermed statsfinanserne fra to sider på én gang.</w:t>
      </w:r>
    </w:p>
    <w:p>
      <w:pPr>
        <w:spacing w:after="180" w:line="259"/>
      </w:pPr>
      <w:r>
        <w:rPr>
          <w:rFonts w:ascii="Aptos" w:cs="Aptos" w:eastAsia="Aptos" w:hAnsi="Aptos"/>
          <w:sz w:val="22"/>
          <w:szCs w:val="22"/>
        </w:rPr>
        <w:t xml:space="preserve">Der er dog også en klar fordel, og den går gennem valutakursen. En højere japansk rente gør det mere attraktivt at placere penge i yen, hvilket styrker yenkursen. En stærkere yen gør importen billigere målt i yen, og da det netop var dyr import, der skabte inflationen i 2022 og 2023, vil en stærkere yen dæmpe prisstigningerne. Det vil give japanerne mere købekraft og kan derfor styrke det private forbrug, som har stået stille gennem hele perioden med en vækst på kun 0,7 % om året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80" w:line="259"/>
      </w:pPr>
      <w:r>
        <w:rPr>
          <w:rFonts w:ascii="Aptos" w:cs="Aptos" w:eastAsia="Aptos" w:hAnsi="Aptos"/>
          <w:sz w:val="22"/>
          <w:szCs w:val="22"/>
        </w:rPr>
        <w:t xml:space="preserve">For konkurrenceevnen er virkningen negativ. Priskonkurrenceevne handler om, hvor billige et lands varer er for udenlandske købere. Når yennen styrkes, bliver japanske varer dyrere målt i andre landes valuta, uden at japanske virksomheder har ændret deres priser eller omkostninger. Konkurrenceevnen forringes altså, uden at der er sket noget i selve produktionen. Omvendt gælder, at den svage yen i årene før gav Japan en konkurrencefordel, som landet ikke selv havde gjort sig fortjent til gennem højere produktivitet.</w:t>
      </w:r>
    </w:p>
    <w:p>
      <w:pPr>
        <w:spacing w:after="180" w:line="259"/>
      </w:pPr>
      <w:r>
        <w:rPr>
          <w:rFonts w:ascii="Aptos" w:cs="Aptos" w:eastAsia="Aptos" w:hAnsi="Aptos"/>
          <w:sz w:val="22"/>
          <w:szCs w:val="22"/>
        </w:rPr>
        <w:t xml:space="preserve">Renteforhøjelsen stiller dermed Japan i en klemme: den hjælper på købekraften og inflationen, men skader statsfinanserne, investeringerne og konkurrenceevnen.</w:t>
      </w:r>
    </w:p>
    <w:p>
      <w:pPr>
        <w:spacing w:after="140" w:before="300" w:line="259"/>
      </w:pPr>
      <w:r>
        <w:rPr>
          <w:rFonts w:ascii="Aptos" w:cs="Aptos" w:eastAsia="Aptos" w:hAnsi="Aptos"/>
          <w:b/>
          <w:bCs/>
          <w:sz w:val="22"/>
          <w:szCs w:val="22"/>
        </w:rPr>
        <w:t xml:space="preserve">Yenkursens betydning for den japanske økonomi</w:t>
      </w:r>
    </w:p>
    <w:p>
      <w:pPr>
        <w:spacing w:after="180" w:line="259"/>
      </w:pPr>
      <w:r>
        <w:rPr>
          <w:rFonts w:ascii="Aptos" w:cs="Aptos" w:eastAsia="Aptos" w:hAnsi="Aptos"/>
          <w:sz w:val="22"/>
          <w:szCs w:val="22"/>
        </w:rPr>
        <w:t xml:space="preserve">Valutakursen er den centrale mekanisme i hele dette samspil. Yennen blev svækket kraftigt i perioden, fra ca. 110 yen pr. dollar i 2021 til ca. 151 yen pr. dollar i 2024, svarende til omkring 27 % </w:t>
      </w:r>
      <w:r>
        <w:rPr>
          <w:rFonts w:ascii="Aptos" w:cs="Aptos" w:eastAsia="Aptos" w:hAnsi="Aptos"/>
          <w:b/>
          <w:bCs/>
          <w:color w:val="C00000"/>
          <w:sz w:val="22"/>
          <w:szCs w:val="22"/>
        </w:rPr>
        <w:t xml:space="preserve">[KILDE]</w:t>
      </w:r>
      <w:r>
        <w:rPr>
          <w:rFonts w:ascii="Aptos" w:cs="Aptos" w:eastAsia="Aptos" w:hAnsi="Aptos"/>
          <w:sz w:val="22"/>
          <w:szCs w:val="22"/>
        </w:rPr>
        <w:t xml:space="preserve">. En svækket valuta har to modsatrettede virkninger.</w:t>
      </w:r>
    </w:p>
    <w:p>
      <w:pPr>
        <w:spacing w:after="180" w:line="259"/>
      </w:pPr>
      <w:r>
        <w:rPr>
          <w:rFonts w:ascii="Aptos" w:cs="Aptos" w:eastAsia="Aptos" w:hAnsi="Aptos"/>
          <w:sz w:val="22"/>
          <w:szCs w:val="22"/>
        </w:rPr>
        <w:t xml:space="preserve">Den første er positiv for eksporten. Når yennen falder i værdi, bliver japanske varer billigere for udenlandske købere, og priskonkurrenceevnen forbedres. Den anden virkning er negativ for forbrugerne. Alt hvad Japan køber i udlandet bliver dyrere målt i yen, og det gælder især energi, som Japan importerer næsten alt af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80" w:line="259"/>
      </w:pPr>
      <w:r>
        <w:rPr>
          <w:rFonts w:ascii="Aptos" w:cs="Aptos" w:eastAsia="Aptos" w:hAnsi="Aptos"/>
          <w:sz w:val="22"/>
          <w:szCs w:val="22"/>
        </w:rPr>
        <w:t xml:space="preserve">Man kan se den anden virkning direkte i tallene. I 2022 steg forbrugerpriserne med 2,5 %, mens kerneinflationen kun steg med 0,3 % </w:t>
      </w:r>
      <w:r>
        <w:rPr>
          <w:rFonts w:ascii="Aptos" w:cs="Aptos" w:eastAsia="Aptos" w:hAnsi="Aptos"/>
          <w:b/>
          <w:bCs/>
          <w:color w:val="C00000"/>
          <w:sz w:val="22"/>
          <w:szCs w:val="22"/>
        </w:rPr>
        <w:t xml:space="preserve">[KILDE]</w:t>
      </w:r>
      <w:r>
        <w:rPr>
          <w:rFonts w:ascii="Aptos" w:cs="Aptos" w:eastAsia="Aptos" w:hAnsi="Aptos"/>
          <w:sz w:val="22"/>
          <w:szCs w:val="22"/>
        </w:rPr>
        <w:t xml:space="preserve">. Kerneinflationen er inflationen uden energi og fødevarer, og når den er så meget lavere end den samlede inflation, betyder det, at prisstigningerne kom udefra og ikke fra japansk efterspørgsel. Der er altså tale om importeret inflation, som er udbudsbestemt frem for efterspørgselsbestemt. I 2023 stiger kerneinflationen til 2,7 %, hvilket viser, at de dyrere importvarer nu er slået igennem i resten af økonomien.</w:t>
      </w:r>
    </w:p>
    <w:p>
      <w:pPr>
        <w:spacing w:after="180" w:line="259"/>
      </w:pPr>
      <w:r>
        <w:rPr>
          <w:rFonts w:ascii="Aptos" w:cs="Aptos" w:eastAsia="Aptos" w:hAnsi="Aptos"/>
          <w:sz w:val="22"/>
          <w:szCs w:val="22"/>
        </w:rPr>
        <w:t xml:space="preserve">Virkningen på husholdningerne kan opstilles som en kausalkæde:</w:t>
      </w:r>
    </w:p>
    <w:p>
      <w:pPr>
        <w:spacing w:after="200" w:line="259"/>
        <w:ind w:left="340"/>
      </w:pPr>
      <w:r>
        <w:rPr>
          <w:rFonts w:ascii="Aptos" w:cs="Aptos" w:eastAsia="Aptos" w:hAnsi="Aptos"/>
          <w:i/>
          <w:iCs/>
          <w:sz w:val="22"/>
          <w:szCs w:val="22"/>
        </w:rPr>
        <w:t xml:space="preserve">Svagere yen → importen bliver dyrere → forbrugerpriserne stiger → lønnen følger ikke med → japanerne kan købe mindre for deres løn → de bruger af opsparingen for at holde forbruget → opsparingskvoten falder fra 7,7 % til 1,8 % → forbruget vokser alligevel kun 0,7 %</w:t>
      </w:r>
    </w:p>
    <w:p>
      <w:pPr>
        <w:spacing w:after="180" w:line="259"/>
      </w:pPr>
      <w:r>
        <w:rPr>
          <w:rFonts w:ascii="Aptos" w:cs="Aptos" w:eastAsia="Aptos" w:hAnsi="Aptos"/>
          <w:sz w:val="22"/>
          <w:szCs w:val="22"/>
        </w:rPr>
        <w:t xml:space="preserve">Det interessante er, at den positive virkning på eksporten ikke er slået tydeligt igennem. Eksporten voksede 11,9 % i 2021, men kun 2,4 % i 2023 og 2,4 % i 2025 — altså faldende eksportvækst i netop de år, hvor yennen var svagest </w:t>
      </w:r>
      <w:r>
        <w:rPr>
          <w:rFonts w:ascii="Aptos" w:cs="Aptos" w:eastAsia="Aptos" w:hAnsi="Aptos"/>
          <w:b/>
          <w:bCs/>
          <w:color w:val="C00000"/>
          <w:sz w:val="22"/>
          <w:szCs w:val="22"/>
        </w:rPr>
        <w:t xml:space="preserve">[KILDE]</w:t>
      </w:r>
      <w:r>
        <w:rPr>
          <w:rFonts w:ascii="Aptos" w:cs="Aptos" w:eastAsia="Aptos" w:hAnsi="Aptos"/>
          <w:sz w:val="22"/>
          <w:szCs w:val="22"/>
        </w:rPr>
        <w:t xml:space="preserve">. En del af forklaringen på det høje tal i 2021 er genopretningen efter corona. Men det er værd at bemærke, at en svækkelse på 27 % ikke har givet nogen tydelig fremgang i eksportmængderne. En mulig forklaring er, at mange japanske virksomheder har flyttet produktionen ud af Japan gennem årtier, så en billigere yen ikke længere gør japansk produktion så meget mere konkurrencedygtig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80" w:line="259"/>
      </w:pPr>
      <w:r>
        <w:rPr>
          <w:rFonts w:ascii="Aptos" w:cs="Aptos" w:eastAsia="Aptos" w:hAnsi="Aptos"/>
          <w:sz w:val="22"/>
          <w:szCs w:val="22"/>
        </w:rPr>
        <w:t xml:space="preserve">Den svage yen har med andre ord kostet japanerne købekraft uden at give en tilsvarende gevinst på eksporten.</w:t>
      </w:r>
    </w:p>
    <w:p>
      <w:pPr>
        <w:spacing w:after="140" w:before="300" w:line="259"/>
      </w:pPr>
      <w:r>
        <w:rPr>
          <w:rFonts w:ascii="Aptos" w:cs="Aptos" w:eastAsia="Aptos" w:hAnsi="Aptos"/>
          <w:b/>
          <w:bCs/>
          <w:sz w:val="22"/>
          <w:szCs w:val="22"/>
        </w:rPr>
        <w:t xml:space="preserve">Rentens virkning på eksport og import</w:t>
      </w:r>
    </w:p>
    <w:p>
      <w:pPr>
        <w:spacing w:after="180" w:line="259"/>
      </w:pPr>
      <w:r>
        <w:rPr>
          <w:rFonts w:ascii="Aptos" w:cs="Aptos" w:eastAsia="Aptos" w:hAnsi="Aptos"/>
          <w:sz w:val="22"/>
          <w:szCs w:val="22"/>
        </w:rPr>
        <w:t xml:space="preserve">En rentestigning påvirker udenrigshandlen indirekte, gennem valutakursen. Sammenhængen kan opstilles sådan:</w:t>
      </w:r>
    </w:p>
    <w:p>
      <w:pPr>
        <w:spacing w:after="200" w:line="259"/>
        <w:ind w:left="340"/>
      </w:pPr>
      <w:r>
        <w:rPr>
          <w:rFonts w:ascii="Aptos" w:cs="Aptos" w:eastAsia="Aptos" w:hAnsi="Aptos"/>
          <w:i/>
          <w:iCs/>
          <w:sz w:val="22"/>
          <w:szCs w:val="22"/>
        </w:rPr>
        <w:t xml:space="preserve">Højere japansk rente → mere attraktivt at placere penge i yen → efterspørgslen efter yen stiger → yenkursen styrkes → japanske varer bliver dyrere for udlandet og udenlandske varer billigere for Japan → eksporten dæmpes og importen øges</w:t>
      </w:r>
    </w:p>
    <w:p>
      <w:pPr>
        <w:spacing w:after="180" w:line="259"/>
      </w:pPr>
      <w:r>
        <w:rPr>
          <w:rFonts w:ascii="Aptos" w:cs="Aptos" w:eastAsia="Aptos" w:hAnsi="Aptos"/>
          <w:sz w:val="22"/>
          <w:szCs w:val="22"/>
        </w:rPr>
        <w:t xml:space="preserve">For eksporten er virkningen negativ. Japanske varer bliver dyrere målt i købernes valuta, og eksportmængderne vil derfor typisk falde eller vokse langsommere. Det rammer Japan hårdere end mange andre lande, fordi nettoeksporten har leveret en stor del af væksten i perioden. I 2021 bidrog nettoeksporten med 1,0 procentpoint og i 2023 med 0,8 procentpoint — i begge tilfælde mere end nogen anden enkelt komponent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80" w:line="259"/>
      </w:pPr>
      <w:r>
        <w:rPr>
          <w:rFonts w:ascii="Aptos" w:cs="Aptos" w:eastAsia="Aptos" w:hAnsi="Aptos"/>
          <w:sz w:val="22"/>
          <w:szCs w:val="22"/>
        </w:rPr>
        <w:t xml:space="preserve">For importen er virkningen delt. Mængden af import stiger, fordi udenlandske varer bliver billigere. Men den samlede regning målt i yen kan alligevel falde, fordi priserne pr. enhed falder. For Japan, der importerer store mængder energi, er den sidste effekt særlig vigtig. Man siger, at bytteforholdet forbedres, altså at Japan kan købe mere for det samme antal eksporterede varer.</w:t>
      </w:r>
    </w:p>
    <w:p>
      <w:pPr>
        <w:spacing w:after="180" w:line="259"/>
      </w:pPr>
      <w:r>
        <w:rPr>
          <w:rFonts w:ascii="Aptos" w:cs="Aptos" w:eastAsia="Aptos" w:hAnsi="Aptos"/>
          <w:sz w:val="22"/>
          <w:szCs w:val="22"/>
        </w:rPr>
        <w:t xml:space="preserve">Virkningens størrelse skal dog holdes op mod, hvor meget udenrigshandlen egentlig fylder i Japan. Eksporten udgør 15,5 % af BNP og importen 15,8 % </w:t>
      </w:r>
      <w:r>
        <w:rPr>
          <w:rFonts w:ascii="Aptos" w:cs="Aptos" w:eastAsia="Aptos" w:hAnsi="Aptos"/>
          <w:b/>
          <w:bCs/>
          <w:color w:val="C00000"/>
          <w:sz w:val="22"/>
          <w:szCs w:val="22"/>
        </w:rPr>
        <w:t xml:space="preserve">[KILDE]</w:t>
      </w:r>
      <w:r>
        <w:rPr>
          <w:rFonts w:ascii="Aptos" w:cs="Aptos" w:eastAsia="Aptos" w:hAnsi="Aptos"/>
          <w:sz w:val="22"/>
          <w:szCs w:val="22"/>
        </w:rPr>
        <w:t xml:space="preserve">. Det er lavt sammenlignet med små, åbne økonomier som den danske, hvor eksporten udgør en langt større del. Japan er altså mindre følsom over for valutakursudsving, end man umiddelbart skulle tro, og det er en del af forklaringen på, at yensvækkelsen på 27 % ikke har givet et tydeligt eksportboom.</w:t>
      </w:r>
    </w:p>
    <w:p>
      <w:pPr>
        <w:spacing w:after="180" w:line="259"/>
      </w:pPr>
      <w:r>
        <w:rPr>
          <w:rFonts w:ascii="Aptos" w:cs="Aptos" w:eastAsia="Aptos" w:hAnsi="Aptos"/>
          <w:sz w:val="22"/>
          <w:szCs w:val="22"/>
        </w:rPr>
        <w:t xml:space="preserve">Virkningen på betalingsbalancen er derfor ikke entydig. Man kan se noget af dette i tallene fra 2022, hvor yennen faldt mest. Her voksede importen 8,0 %, mens eksporten kun voksede 5,1 %, og overskuddet på betalingsbalancens løbende poster faldt fra 3,9 % til 1,8 % af BNP </w:t>
      </w:r>
      <w:r>
        <w:rPr>
          <w:rFonts w:ascii="Aptos" w:cs="Aptos" w:eastAsia="Aptos" w:hAnsi="Aptos"/>
          <w:b/>
          <w:bCs/>
          <w:color w:val="C00000"/>
          <w:sz w:val="22"/>
          <w:szCs w:val="22"/>
        </w:rPr>
        <w:t xml:space="preserve">[KILDE]</w:t>
      </w:r>
      <w:r>
        <w:rPr>
          <w:rFonts w:ascii="Aptos" w:cs="Aptos" w:eastAsia="Aptos" w:hAnsi="Aptos"/>
          <w:sz w:val="22"/>
          <w:szCs w:val="22"/>
        </w:rPr>
        <w:t xml:space="preserve">. En svækket valuta gjorde altså på kort sigt overskuddet mindre, ikke større, fordi importregningen steg med det samme, mens eksportmængderne ikke nåede at reagere. Det svarer til det, man kalder en J-kurve-effekt. Det skal dog nævnes, at energipriserne samtidig steg kraftigt i 2022, og at de to forklaringer derfor er svære at adskille.</w:t>
      </w:r>
    </w:p>
    <w:p>
      <w:pPr>
        <w:spacing w:after="180" w:line="259"/>
      </w:pPr>
      <w:r>
        <w:rPr>
          <w:rFonts w:ascii="Aptos" w:cs="Aptos" w:eastAsia="Aptos" w:hAnsi="Aptos"/>
          <w:sz w:val="22"/>
          <w:szCs w:val="22"/>
        </w:rPr>
        <w:t xml:space="preserve">I 2023 vender billedet: importen falder 1,3 %, eksporten vokser 2,4 %, og overskuddet stiger igen til 3,4 % af BNP </w:t>
      </w:r>
      <w:r>
        <w:rPr>
          <w:rFonts w:ascii="Aptos" w:cs="Aptos" w:eastAsia="Aptos" w:hAnsi="Aptos"/>
          <w:b/>
          <w:bCs/>
          <w:color w:val="C00000"/>
          <w:sz w:val="22"/>
          <w:szCs w:val="22"/>
        </w:rPr>
        <w:t xml:space="preserve">[KILDE]</w:t>
      </w:r>
      <w:r>
        <w:rPr>
          <w:rFonts w:ascii="Aptos" w:cs="Aptos" w:eastAsia="Aptos" w:hAnsi="Aptos"/>
          <w:sz w:val="22"/>
          <w:szCs w:val="22"/>
        </w:rPr>
        <w:t xml:space="preserve">. En rentestigning, der styrker yennen, vil kunne skabe den modsatte bevægelse — et midlertidigt større overskud gennem billigere import, efterfulgt af et pres på eksporten, når mængderne tilpasser sig.</w:t>
      </w:r>
    </w:p>
    <w:p>
      <w:pPr>
        <w:spacing w:after="140" w:before="300" w:line="259"/>
      </w:pPr>
      <w:r>
        <w:rPr>
          <w:rFonts w:ascii="Aptos" w:cs="Aptos" w:eastAsia="Aptos" w:hAnsi="Aptos"/>
          <w:b/>
          <w:bCs/>
          <w:sz w:val="22"/>
          <w:szCs w:val="22"/>
        </w:rPr>
        <w:t xml:space="preserve">Delkonklusion</w:t>
      </w:r>
    </w:p>
    <w:p>
      <w:pPr>
        <w:spacing w:after="180" w:line="259"/>
      </w:pPr>
      <w:r>
        <w:rPr>
          <w:rFonts w:ascii="Aptos" w:cs="Aptos" w:eastAsia="Aptos" w:hAnsi="Aptos"/>
          <w:sz w:val="22"/>
          <w:szCs w:val="22"/>
        </w:rPr>
        <w:t xml:space="preserve">Analysen viser, at renten og valutakursen hænger tæt sammen, og at Japan ikke kan opnå alle fordele på én gang. En lav rente holder yennen svag, hvilket gavner eksportens priskonkurrenceevne, men gør importen dyr og udhuler japanernes købekraft. En højere rente styrker yennen og giver billigere import og mere købekraft, men svækker konkurrenceevnen, dæmper investeringerne og gør den meget store statsgæld markant dyrere at betjene.</w:t>
      </w:r>
    </w:p>
    <w:p>
      <w:pPr>
        <w:spacing w:after="180" w:line="259"/>
      </w:pPr>
      <w:r>
        <w:rPr>
          <w:rFonts w:ascii="Aptos" w:cs="Aptos" w:eastAsia="Aptos" w:hAnsi="Aptos"/>
          <w:sz w:val="22"/>
          <w:szCs w:val="22"/>
        </w:rPr>
        <w:t xml:space="preserve">Japan står dermed i en situation, hvor begge veje har betydelige omkostninger. Hvilken af dem der er mest hensigtsmæssig, afhænger af, om man vægter eksporten og statsfinanserne højest, eller om man vægter husholdningernes købekraft højest. Det behandles i diskussionen.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2026-09-11T10:25:42.021Z</dcterms:created>
  <dcterms:modified xsi:type="dcterms:W3CDTF">2026-09-11T10:25:42.021Z</dcterms:modified>
</cp:coreProperties>
</file>

<file path=docProps/custom.xml><?xml version="1.0" encoding="utf-8"?>
<Properties xmlns="http://schemas.openxmlformats.org/officeDocument/2006/custom-properties" xmlns:vt="http://schemas.openxmlformats.org/officeDocument/2006/docPropsVTypes"/>
</file>