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pct"/>
        <w:tblLook w:val="07E0" w:firstRow="1" w:lastRow="1" w:firstColumn="1" w:lastColumn="1" w:noHBand="1" w:noVBand="1"/>
      </w:tblPr>
      <w:tblGrid>
        <w:gridCol w:w="1128"/>
        <w:gridCol w:w="905"/>
        <w:gridCol w:w="816"/>
        <w:gridCol w:w="866"/>
        <w:gridCol w:w="766"/>
        <w:gridCol w:w="1244"/>
      </w:tblGrid>
      <w:tr w:rsidR="004D7CDD" w:rsidRPr="009F3DB2" w14:paraId="04F9CE0C" w14:textId="77777777" w:rsidTr="00874F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35A3D5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DB1817" w14:textId="78849835" w:rsidR="004D7CDD" w:rsidRPr="009F3DB2" w:rsidRDefault="00DA00C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3811E8" w14:textId="76EAC0AB" w:rsidR="004D7CDD" w:rsidRPr="009F3DB2" w:rsidRDefault="00DA00C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13CC2B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8C741F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4FB5AF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Posterior SD</w:t>
            </w:r>
          </w:p>
        </w:tc>
      </w:tr>
      <w:tr w:rsidR="004D7CDD" w:rsidRPr="009F3DB2" w14:paraId="1DC6E5A4" w14:textId="77777777" w:rsidTr="00874F36">
        <w:tc>
          <w:tcPr>
            <w:tcW w:w="0" w:type="auto"/>
          </w:tcPr>
          <w:p w14:paraId="7E62632B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GBM-BRT</w:t>
            </w:r>
          </w:p>
        </w:tc>
        <w:tc>
          <w:tcPr>
            <w:tcW w:w="0" w:type="auto"/>
          </w:tcPr>
          <w:p w14:paraId="1F836D65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9256</w:t>
            </w:r>
          </w:p>
        </w:tc>
        <w:tc>
          <w:tcPr>
            <w:tcW w:w="0" w:type="auto"/>
          </w:tcPr>
          <w:p w14:paraId="10089070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2314</w:t>
            </w:r>
          </w:p>
        </w:tc>
        <w:tc>
          <w:tcPr>
            <w:tcW w:w="0" w:type="auto"/>
          </w:tcPr>
          <w:p w14:paraId="3399DCE0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0.0646</w:t>
            </w:r>
          </w:p>
        </w:tc>
        <w:tc>
          <w:tcPr>
            <w:tcW w:w="0" w:type="auto"/>
          </w:tcPr>
          <w:p w14:paraId="30BB3C17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0.9615</w:t>
            </w:r>
          </w:p>
        </w:tc>
        <w:tc>
          <w:tcPr>
            <w:tcW w:w="0" w:type="auto"/>
          </w:tcPr>
          <w:p w14:paraId="19FD1979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0.0257</w:t>
            </w:r>
          </w:p>
        </w:tc>
      </w:tr>
      <w:tr w:rsidR="004D7CDD" w:rsidRPr="009F3DB2" w14:paraId="6ECF45CD" w14:textId="77777777" w:rsidTr="00874F36">
        <w:tc>
          <w:tcPr>
            <w:tcW w:w="0" w:type="auto"/>
          </w:tcPr>
          <w:p w14:paraId="72647E45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GAM</w:t>
            </w:r>
          </w:p>
        </w:tc>
        <w:tc>
          <w:tcPr>
            <w:tcW w:w="0" w:type="auto"/>
          </w:tcPr>
          <w:p w14:paraId="144D1807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2636</w:t>
            </w:r>
          </w:p>
        </w:tc>
        <w:tc>
          <w:tcPr>
            <w:tcW w:w="0" w:type="auto"/>
          </w:tcPr>
          <w:p w14:paraId="6C9F7ADD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659</w:t>
            </w:r>
          </w:p>
        </w:tc>
        <w:tc>
          <w:tcPr>
            <w:tcW w:w="0" w:type="auto"/>
          </w:tcPr>
          <w:p w14:paraId="3D396493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0.0121</w:t>
            </w:r>
          </w:p>
        </w:tc>
        <w:tc>
          <w:tcPr>
            <w:tcW w:w="0" w:type="auto"/>
          </w:tcPr>
          <w:p w14:paraId="5DD431A5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0.5213</w:t>
            </w:r>
          </w:p>
        </w:tc>
        <w:tc>
          <w:tcPr>
            <w:tcW w:w="0" w:type="auto"/>
          </w:tcPr>
          <w:p w14:paraId="30816367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0.01069</w:t>
            </w:r>
          </w:p>
        </w:tc>
      </w:tr>
      <w:tr w:rsidR="004D7CDD" w:rsidRPr="009F3DB2" w14:paraId="402BD76E" w14:textId="77777777" w:rsidTr="00874F36">
        <w:tc>
          <w:tcPr>
            <w:tcW w:w="0" w:type="auto"/>
          </w:tcPr>
          <w:p w14:paraId="20B5AC15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MARS</w:t>
            </w:r>
          </w:p>
        </w:tc>
        <w:tc>
          <w:tcPr>
            <w:tcW w:w="0" w:type="auto"/>
          </w:tcPr>
          <w:p w14:paraId="7497569A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6632</w:t>
            </w:r>
          </w:p>
        </w:tc>
        <w:tc>
          <w:tcPr>
            <w:tcW w:w="0" w:type="auto"/>
          </w:tcPr>
          <w:p w14:paraId="6CE23BE4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1657</w:t>
            </w:r>
          </w:p>
        </w:tc>
        <w:tc>
          <w:tcPr>
            <w:tcW w:w="0" w:type="auto"/>
          </w:tcPr>
          <w:p w14:paraId="3E209409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0.0561</w:t>
            </w:r>
          </w:p>
        </w:tc>
        <w:tc>
          <w:tcPr>
            <w:tcW w:w="0" w:type="auto"/>
          </w:tcPr>
          <w:p w14:paraId="02DC0101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0.9648</w:t>
            </w:r>
          </w:p>
        </w:tc>
        <w:tc>
          <w:tcPr>
            <w:tcW w:w="0" w:type="auto"/>
          </w:tcPr>
          <w:p w14:paraId="4D1F2DC6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0.03397</w:t>
            </w:r>
          </w:p>
        </w:tc>
      </w:tr>
      <w:tr w:rsidR="004D7CDD" w:rsidRPr="009F3DB2" w14:paraId="05387A77" w14:textId="77777777" w:rsidTr="00874F36">
        <w:tc>
          <w:tcPr>
            <w:tcW w:w="0" w:type="auto"/>
          </w:tcPr>
          <w:p w14:paraId="6CF460EA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RF</w:t>
            </w:r>
          </w:p>
        </w:tc>
        <w:tc>
          <w:tcPr>
            <w:tcW w:w="0" w:type="auto"/>
          </w:tcPr>
          <w:p w14:paraId="7636D58F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2861</w:t>
            </w:r>
          </w:p>
        </w:tc>
        <w:tc>
          <w:tcPr>
            <w:tcW w:w="0" w:type="auto"/>
          </w:tcPr>
          <w:p w14:paraId="30ABC629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715</w:t>
            </w:r>
          </w:p>
        </w:tc>
        <w:tc>
          <w:tcPr>
            <w:tcW w:w="0" w:type="auto"/>
          </w:tcPr>
          <w:p w14:paraId="48DDEC6F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0.64824</w:t>
            </w:r>
          </w:p>
        </w:tc>
        <w:tc>
          <w:tcPr>
            <w:tcW w:w="0" w:type="auto"/>
          </w:tcPr>
          <w:p w14:paraId="04C43A7D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0.5851</w:t>
            </w:r>
          </w:p>
        </w:tc>
        <w:tc>
          <w:tcPr>
            <w:tcW w:w="0" w:type="auto"/>
          </w:tcPr>
          <w:p w14:paraId="770490EB" w14:textId="77777777" w:rsidR="004D7CDD" w:rsidRPr="009F3DB2" w:rsidRDefault="004D7CDD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0.10174</w:t>
            </w:r>
          </w:p>
        </w:tc>
      </w:tr>
    </w:tbl>
    <w:p w14:paraId="62BEDAB4" w14:textId="77777777" w:rsidR="004D7CDD" w:rsidRPr="009F3DB2" w:rsidRDefault="004D7CDD" w:rsidP="004D7CDD">
      <w:pPr>
        <w:pStyle w:val="BodyText"/>
        <w:spacing w:before="0" w:after="0"/>
        <w:rPr>
          <w:rFonts w:ascii="Times New Roman" w:eastAsiaTheme="minorEastAsia" w:hAnsi="Times New Roman" w:cs="Times New Roman"/>
          <w:sz w:val="20"/>
          <w:szCs w:val="20"/>
        </w:rPr>
      </w:pPr>
      <w:r w:rsidRPr="009F3DB2">
        <w:rPr>
          <w:rFonts w:ascii="Times New Roman" w:hAnsi="Times New Roman" w:cs="Times New Roman"/>
          <w:i/>
          <w:sz w:val="20"/>
          <w:szCs w:val="20"/>
        </w:rPr>
        <w:t>Table 1</w:t>
      </w:r>
      <w:r w:rsidRPr="009F3DB2">
        <w:rPr>
          <w:rFonts w:ascii="Times New Roman" w:hAnsi="Times New Roman" w:cs="Times New Roman"/>
          <w:sz w:val="20"/>
          <w:szCs w:val="20"/>
        </w:rPr>
        <w:t xml:space="preserve"> shows the results of the evaluation of runtime model skill. </w:t>
      </w:r>
      <w:proofErr w:type="spellStart"/>
      <w:proofErr w:type="gramStart"/>
      <w:r w:rsidRPr="009F3DB2">
        <w:rPr>
          <w:rFonts w:ascii="Times New Roman" w:hAnsi="Times New Roman" w:cs="Times New Roman"/>
          <w:sz w:val="20"/>
          <w:szCs w:val="20"/>
        </w:rPr>
        <w:t>nTrain</w:t>
      </w:r>
      <w:proofErr w:type="spellEnd"/>
      <w:proofErr w:type="gramEnd"/>
      <w:r w:rsidRPr="009F3DB2">
        <w:rPr>
          <w:rFonts w:ascii="Times New Roman" w:hAnsi="Times New Roman" w:cs="Times New Roman"/>
          <w:sz w:val="20"/>
          <w:szCs w:val="20"/>
        </w:rPr>
        <w:t xml:space="preserve"> denotes the number of data points used to fit the model with. </w:t>
      </w:r>
      <w:proofErr w:type="spellStart"/>
      <w:proofErr w:type="gramStart"/>
      <w:r w:rsidRPr="009F3DB2">
        <w:rPr>
          <w:rFonts w:ascii="Times New Roman" w:hAnsi="Times New Roman" w:cs="Times New Roman"/>
          <w:sz w:val="20"/>
          <w:szCs w:val="20"/>
        </w:rPr>
        <w:t>nTest</w:t>
      </w:r>
      <w:proofErr w:type="spellEnd"/>
      <w:proofErr w:type="gramEnd"/>
      <w:r w:rsidRPr="009F3DB2">
        <w:rPr>
          <w:rFonts w:ascii="Times New Roman" w:hAnsi="Times New Roman" w:cs="Times New Roman"/>
          <w:sz w:val="20"/>
          <w:szCs w:val="20"/>
        </w:rPr>
        <w:t xml:space="preserve"> represents the number of data points that were used to evaluate performance statistics. MSE denotes the mean squared prediction error, measured in log-seconds</w:t>
      </w:r>
      <w:r w:rsidRPr="009F3DB2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9F3DB2">
        <w:rPr>
          <w:rFonts w:ascii="Times New Roman" w:hAnsi="Times New Roman" w:cs="Times New Roman"/>
          <w:sz w:val="20"/>
          <w:szCs w:val="20"/>
        </w:rPr>
        <w:t xml:space="preserve">. 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9F3DB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Start"/>
      <w:r w:rsidRPr="009F3DB2">
        <w:rPr>
          <w:rFonts w:ascii="Times New Roman" w:eastAsiaTheme="minorEastAsia" w:hAnsi="Times New Roman" w:cs="Times New Roman"/>
          <w:sz w:val="20"/>
          <w:szCs w:val="20"/>
        </w:rPr>
        <w:t>is</w:t>
      </w:r>
      <w:proofErr w:type="gramEnd"/>
      <w:r w:rsidRPr="009F3DB2">
        <w:rPr>
          <w:rFonts w:ascii="Times New Roman" w:eastAsiaTheme="minorEastAsia" w:hAnsi="Times New Roman" w:cs="Times New Roman"/>
          <w:sz w:val="20"/>
          <w:szCs w:val="20"/>
        </w:rPr>
        <w:t xml:space="preserve"> the squared correlation between observed and predicted values, and is interpreted as fraction of explained variance. Posterior SD is the mean standard deviation of the posterior predictions, measured in log-seconds.</w:t>
      </w:r>
    </w:p>
    <w:p w14:paraId="4ED9236D" w14:textId="77777777" w:rsidR="00874F36" w:rsidRPr="009F3DB2" w:rsidRDefault="00874F36" w:rsidP="004D7CDD">
      <w:pPr>
        <w:pStyle w:val="BodyText"/>
        <w:spacing w:before="0" w:after="0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128"/>
        <w:gridCol w:w="905"/>
        <w:gridCol w:w="816"/>
        <w:gridCol w:w="966"/>
        <w:gridCol w:w="866"/>
        <w:gridCol w:w="1244"/>
      </w:tblGrid>
      <w:tr w:rsidR="00874F36" w:rsidRPr="009F3DB2" w14:paraId="04880843" w14:textId="77777777" w:rsidTr="00874F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30E5FC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F3E923" w14:textId="20DB4E85" w:rsidR="00874F36" w:rsidRPr="009F3DB2" w:rsidRDefault="00DA00C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43AF78" w14:textId="39216556" w:rsidR="00874F36" w:rsidRPr="009F3DB2" w:rsidRDefault="00DA00C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AF5A93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3273EC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95F941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Posterior SD</w:t>
            </w:r>
          </w:p>
        </w:tc>
      </w:tr>
      <w:tr w:rsidR="00874F36" w:rsidRPr="009F3DB2" w14:paraId="1E2402C0" w14:textId="77777777" w:rsidTr="00874F36">
        <w:tc>
          <w:tcPr>
            <w:tcW w:w="0" w:type="auto"/>
          </w:tcPr>
          <w:p w14:paraId="71B1970D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GBM-BRT</w:t>
            </w:r>
          </w:p>
        </w:tc>
        <w:tc>
          <w:tcPr>
            <w:tcW w:w="0" w:type="auto"/>
          </w:tcPr>
          <w:p w14:paraId="44FCCE13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9256</w:t>
            </w:r>
          </w:p>
        </w:tc>
        <w:tc>
          <w:tcPr>
            <w:tcW w:w="0" w:type="auto"/>
          </w:tcPr>
          <w:p w14:paraId="317A8E96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2314</w:t>
            </w:r>
          </w:p>
        </w:tc>
        <w:tc>
          <w:tcPr>
            <w:tcW w:w="0" w:type="auto"/>
          </w:tcPr>
          <w:p w14:paraId="45BCE89C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0.000245</w:t>
            </w:r>
          </w:p>
        </w:tc>
        <w:tc>
          <w:tcPr>
            <w:tcW w:w="0" w:type="auto"/>
          </w:tcPr>
          <w:p w14:paraId="7B347386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0.8748</w:t>
            </w:r>
          </w:p>
        </w:tc>
        <w:tc>
          <w:tcPr>
            <w:tcW w:w="0" w:type="auto"/>
          </w:tcPr>
          <w:p w14:paraId="2640C721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0.0012</w:t>
            </w:r>
          </w:p>
        </w:tc>
      </w:tr>
      <w:tr w:rsidR="00874F36" w:rsidRPr="009F3DB2" w14:paraId="2DD1BB2B" w14:textId="77777777" w:rsidTr="00874F36">
        <w:tc>
          <w:tcPr>
            <w:tcW w:w="0" w:type="auto"/>
          </w:tcPr>
          <w:p w14:paraId="668A3758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GAM</w:t>
            </w:r>
          </w:p>
        </w:tc>
        <w:tc>
          <w:tcPr>
            <w:tcW w:w="0" w:type="auto"/>
          </w:tcPr>
          <w:p w14:paraId="5F7A22A1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2636</w:t>
            </w:r>
          </w:p>
        </w:tc>
        <w:tc>
          <w:tcPr>
            <w:tcW w:w="0" w:type="auto"/>
          </w:tcPr>
          <w:p w14:paraId="6B8F5766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659</w:t>
            </w:r>
          </w:p>
        </w:tc>
        <w:tc>
          <w:tcPr>
            <w:tcW w:w="0" w:type="auto"/>
          </w:tcPr>
          <w:p w14:paraId="7518C6E2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0.000718</w:t>
            </w:r>
          </w:p>
        </w:tc>
        <w:tc>
          <w:tcPr>
            <w:tcW w:w="0" w:type="auto"/>
          </w:tcPr>
          <w:p w14:paraId="5292BC6B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0.8993</w:t>
            </w:r>
          </w:p>
        </w:tc>
        <w:tc>
          <w:tcPr>
            <w:tcW w:w="0" w:type="auto"/>
          </w:tcPr>
          <w:p w14:paraId="6253397F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0.004998</w:t>
            </w:r>
          </w:p>
        </w:tc>
      </w:tr>
      <w:tr w:rsidR="00874F36" w:rsidRPr="009F3DB2" w14:paraId="6F4BF7C5" w14:textId="77777777" w:rsidTr="00874F36">
        <w:tc>
          <w:tcPr>
            <w:tcW w:w="0" w:type="auto"/>
          </w:tcPr>
          <w:p w14:paraId="62062807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MARS</w:t>
            </w:r>
          </w:p>
        </w:tc>
        <w:tc>
          <w:tcPr>
            <w:tcW w:w="0" w:type="auto"/>
          </w:tcPr>
          <w:p w14:paraId="213A725B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6632</w:t>
            </w:r>
          </w:p>
        </w:tc>
        <w:tc>
          <w:tcPr>
            <w:tcW w:w="0" w:type="auto"/>
          </w:tcPr>
          <w:p w14:paraId="5A41D06B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1657</w:t>
            </w:r>
          </w:p>
        </w:tc>
        <w:tc>
          <w:tcPr>
            <w:tcW w:w="0" w:type="auto"/>
          </w:tcPr>
          <w:p w14:paraId="29E57E07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0.000168</w:t>
            </w:r>
          </w:p>
        </w:tc>
        <w:tc>
          <w:tcPr>
            <w:tcW w:w="0" w:type="auto"/>
          </w:tcPr>
          <w:p w14:paraId="64208E42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0.94175</w:t>
            </w:r>
          </w:p>
        </w:tc>
        <w:tc>
          <w:tcPr>
            <w:tcW w:w="0" w:type="auto"/>
          </w:tcPr>
          <w:p w14:paraId="4FFE7143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0.001421</w:t>
            </w:r>
          </w:p>
        </w:tc>
      </w:tr>
      <w:tr w:rsidR="00874F36" w:rsidRPr="009F3DB2" w14:paraId="3DC81F3A" w14:textId="77777777" w:rsidTr="00874F36">
        <w:tc>
          <w:tcPr>
            <w:tcW w:w="0" w:type="auto"/>
          </w:tcPr>
          <w:p w14:paraId="506D3800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RF</w:t>
            </w:r>
          </w:p>
        </w:tc>
        <w:tc>
          <w:tcPr>
            <w:tcW w:w="0" w:type="auto"/>
          </w:tcPr>
          <w:p w14:paraId="090A4686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2861</w:t>
            </w:r>
          </w:p>
        </w:tc>
        <w:tc>
          <w:tcPr>
            <w:tcW w:w="0" w:type="auto"/>
          </w:tcPr>
          <w:p w14:paraId="6A403315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715</w:t>
            </w:r>
          </w:p>
        </w:tc>
        <w:tc>
          <w:tcPr>
            <w:tcW w:w="0" w:type="auto"/>
          </w:tcPr>
          <w:p w14:paraId="3BF49382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0.000034</w:t>
            </w:r>
          </w:p>
        </w:tc>
        <w:tc>
          <w:tcPr>
            <w:tcW w:w="0" w:type="auto"/>
          </w:tcPr>
          <w:p w14:paraId="30CBA4C4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0.9818</w:t>
            </w:r>
          </w:p>
        </w:tc>
        <w:tc>
          <w:tcPr>
            <w:tcW w:w="0" w:type="auto"/>
          </w:tcPr>
          <w:p w14:paraId="0F7CB212" w14:textId="77777777" w:rsidR="00874F36" w:rsidRPr="009F3DB2" w:rsidRDefault="00874F36" w:rsidP="00874F3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0.00062</w:t>
            </w:r>
          </w:p>
        </w:tc>
      </w:tr>
    </w:tbl>
    <w:p w14:paraId="4162C0DF" w14:textId="77777777" w:rsidR="00874F36" w:rsidRPr="009F3DB2" w:rsidRDefault="00874F36" w:rsidP="00874F36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</w:rPr>
      </w:pPr>
      <w:r w:rsidRPr="009F3DB2">
        <w:rPr>
          <w:rFonts w:ascii="Times New Roman" w:hAnsi="Times New Roman" w:cs="Times New Roman"/>
          <w:i/>
          <w:sz w:val="20"/>
          <w:szCs w:val="20"/>
        </w:rPr>
        <w:t>Table 2</w:t>
      </w:r>
      <w:r w:rsidRPr="009F3DB2">
        <w:rPr>
          <w:rFonts w:ascii="Times New Roman" w:hAnsi="Times New Roman" w:cs="Times New Roman"/>
          <w:sz w:val="20"/>
          <w:szCs w:val="20"/>
        </w:rPr>
        <w:t xml:space="preserve"> shows the results of the evaluation of accuracy model skill.</w:t>
      </w:r>
    </w:p>
    <w:p w14:paraId="048E0BD3" w14:textId="77777777" w:rsidR="00EC5655" w:rsidRPr="009F3DB2" w:rsidRDefault="00EC5655" w:rsidP="00874F36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8435" w:type="dxa"/>
        <w:tblInd w:w="93" w:type="dxa"/>
        <w:tblLook w:val="04A0" w:firstRow="1" w:lastRow="0" w:firstColumn="1" w:lastColumn="0" w:noHBand="0" w:noVBand="1"/>
      </w:tblPr>
      <w:tblGrid>
        <w:gridCol w:w="3020"/>
        <w:gridCol w:w="1515"/>
        <w:gridCol w:w="1300"/>
        <w:gridCol w:w="1300"/>
        <w:gridCol w:w="1300"/>
      </w:tblGrid>
      <w:tr w:rsidR="006D4053" w:rsidRPr="009F3DB2" w14:paraId="604C882B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AE6A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Execution Time Model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10C6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1D80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795E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B1A9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4053" w:rsidRPr="009F3DB2" w14:paraId="3D4197BE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C97C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A184" w14:textId="79E2B32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2E60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0884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GBM-BRT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A285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GAM</w:t>
            </w:r>
          </w:p>
        </w:tc>
      </w:tr>
      <w:tr w:rsidR="006D4053" w:rsidRPr="009F3DB2" w14:paraId="458008AF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1C2F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Covariates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E77A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1A33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D911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200A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0.25%</w:t>
            </w:r>
          </w:p>
        </w:tc>
      </w:tr>
      <w:tr w:rsidR="006D4053" w:rsidRPr="009F3DB2" w14:paraId="1156146C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EE60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CPU Cores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B9AE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-5.55%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3C21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7163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D408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-0.63%</w:t>
            </w:r>
          </w:p>
        </w:tc>
      </w:tr>
      <w:tr w:rsidR="006D4053" w:rsidRPr="009F3DB2" w14:paraId="4109A277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1AB9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GB Memory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FA7B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2144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0CB7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883E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0.08%</w:t>
            </w:r>
          </w:p>
        </w:tc>
      </w:tr>
      <w:tr w:rsidR="006D4053" w:rsidRPr="009F3DB2" w14:paraId="2507BAE5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974F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Training Examples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70A4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-38.36%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0D3B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-36.92%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7F7B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-71.74%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4C82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-1.22%</w:t>
            </w:r>
          </w:p>
        </w:tc>
      </w:tr>
      <w:tr w:rsidR="006D4053" w:rsidRPr="009F3DB2" w14:paraId="6BB1B33B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A85A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5147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B654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-5.01%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B4CC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-5.69%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A863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-33.67%</w:t>
            </w:r>
          </w:p>
        </w:tc>
      </w:tr>
      <w:tr w:rsidR="006D4053" w:rsidRPr="009F3DB2" w14:paraId="6E3A694F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366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B85B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8621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5843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C5A1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4053" w:rsidRPr="009F3DB2" w14:paraId="0C961D54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E1E7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Accuracy Model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2B78" w14:textId="5CFABC4E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5830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8C0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GBM-BRT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FA40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GAM</w:t>
            </w:r>
          </w:p>
        </w:tc>
      </w:tr>
      <w:tr w:rsidR="006D4053" w:rsidRPr="009F3DB2" w14:paraId="5E6747D9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DC34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Covariates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BC0B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-34.39%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9CEE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-29.29%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335F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A658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-50.45%</w:t>
            </w:r>
          </w:p>
        </w:tc>
      </w:tr>
      <w:tr w:rsidR="006D4053" w:rsidRPr="009F3DB2" w14:paraId="0589EA91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2D6B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CPU Cores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36B1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EF74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161A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9892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</w:tr>
      <w:tr w:rsidR="006D4053" w:rsidRPr="009F3DB2" w14:paraId="68883F12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61C5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GB Memory</w:t>
            </w:r>
            <w:bookmarkStart w:id="0" w:name="_GoBack"/>
            <w:bookmarkEnd w:id="0"/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72AB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FB7E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BD6F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08B1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</w:tr>
      <w:tr w:rsidR="006D4053" w:rsidRPr="009F3DB2" w14:paraId="07EDCAD6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8E66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Training Examples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B85E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-45.72%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DBC4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-26.67%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E484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-67.84%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6E9A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-0.34%</w:t>
            </w:r>
          </w:p>
        </w:tc>
      </w:tr>
      <w:tr w:rsidR="006D4053" w:rsidRPr="009F3DB2" w14:paraId="2490A371" w14:textId="77777777" w:rsidTr="006D405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32C2" w14:textId="77777777" w:rsidR="006D4053" w:rsidRPr="009F3DB2" w:rsidRDefault="006D4053" w:rsidP="006D40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0D1A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6301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FEEB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6A3F" w14:textId="77777777" w:rsidR="006D4053" w:rsidRPr="009F3DB2" w:rsidRDefault="006D4053" w:rsidP="006D405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3D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</w:tr>
    </w:tbl>
    <w:p w14:paraId="1AE2514D" w14:textId="77777777" w:rsidR="006D4053" w:rsidRPr="009F3DB2" w:rsidRDefault="006D4053" w:rsidP="00874F36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</w:rPr>
      </w:pPr>
    </w:p>
    <w:p w14:paraId="7755C438" w14:textId="77777777" w:rsidR="006D4053" w:rsidRPr="009F3DB2" w:rsidRDefault="006D4053" w:rsidP="00874F36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</w:rPr>
      </w:pPr>
    </w:p>
    <w:p w14:paraId="0F810107" w14:textId="1A16F3A0" w:rsidR="00EC5655" w:rsidRPr="009F3DB2" w:rsidRDefault="00EC5655" w:rsidP="00874F36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</w:rPr>
      </w:pPr>
      <w:r w:rsidRPr="009F3DB2">
        <w:rPr>
          <w:rFonts w:ascii="Times New Roman" w:hAnsi="Times New Roman" w:cs="Times New Roman"/>
          <w:i/>
          <w:sz w:val="20"/>
          <w:szCs w:val="20"/>
        </w:rPr>
        <w:t xml:space="preserve">Table </w:t>
      </w:r>
      <w:r w:rsidR="005F6597" w:rsidRPr="009F3DB2">
        <w:rPr>
          <w:rFonts w:ascii="Times New Roman" w:hAnsi="Times New Roman" w:cs="Times New Roman"/>
          <w:i/>
          <w:sz w:val="20"/>
          <w:szCs w:val="20"/>
        </w:rPr>
        <w:t>3</w:t>
      </w:r>
      <w:r w:rsidRPr="009F3DB2">
        <w:rPr>
          <w:rFonts w:ascii="Times New Roman" w:hAnsi="Times New Roman" w:cs="Times New Roman"/>
          <w:sz w:val="20"/>
          <w:szCs w:val="20"/>
        </w:rPr>
        <w:t xml:space="preserve"> s</w:t>
      </w:r>
      <w:r w:rsidR="005F6597" w:rsidRPr="009F3DB2">
        <w:rPr>
          <w:rFonts w:ascii="Times New Roman" w:hAnsi="Times New Roman" w:cs="Times New Roman"/>
          <w:sz w:val="20"/>
          <w:szCs w:val="20"/>
        </w:rPr>
        <w:t xml:space="preserve">hows the reduction in explanatory power </w:t>
      </w:r>
      <w:r w:rsidRPr="009F3DB2">
        <w:rPr>
          <w:rFonts w:ascii="Times New Roman" w:hAnsi="Times New Roman" w:cs="Times New Roman"/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="005F6597" w:rsidRPr="009F3DB2">
        <w:rPr>
          <w:rFonts w:ascii="Times New Roman" w:eastAsiaTheme="minorEastAsia" w:hAnsi="Times New Roman" w:cs="Times New Roman"/>
          <w:sz w:val="20"/>
          <w:szCs w:val="20"/>
        </w:rPr>
        <w:t>, converted to percent</w:t>
      </w:r>
      <w:r w:rsidRPr="009F3DB2">
        <w:rPr>
          <w:rFonts w:ascii="Times New Roman" w:hAnsi="Times New Roman" w:cs="Times New Roman"/>
          <w:sz w:val="20"/>
          <w:szCs w:val="20"/>
        </w:rPr>
        <w:t>) when a model fit will all terms except one is compared to the full model, for an execution time model</w:t>
      </w:r>
      <w:r w:rsidR="006D4053" w:rsidRPr="009F3DB2">
        <w:rPr>
          <w:rFonts w:ascii="Times New Roman" w:hAnsi="Times New Roman" w:cs="Times New Roman"/>
          <w:sz w:val="20"/>
          <w:szCs w:val="20"/>
        </w:rPr>
        <w:t xml:space="preserve"> (top) and accuracy model (bottom)</w:t>
      </w:r>
      <w:r w:rsidRPr="009F3DB2">
        <w:rPr>
          <w:rFonts w:ascii="Times New Roman" w:hAnsi="Times New Roman" w:cs="Times New Roman"/>
          <w:sz w:val="20"/>
          <w:szCs w:val="20"/>
        </w:rPr>
        <w:t>.</w:t>
      </w:r>
      <w:r w:rsidR="006D4053" w:rsidRPr="009F3DB2">
        <w:rPr>
          <w:rFonts w:ascii="Times New Roman" w:hAnsi="Times New Roman" w:cs="Times New Roman"/>
          <w:sz w:val="20"/>
          <w:szCs w:val="20"/>
        </w:rPr>
        <w:t xml:space="preserve"> Results were rounded to two decimal places.</w:t>
      </w:r>
    </w:p>
    <w:p w14:paraId="78B2AABA" w14:textId="77777777" w:rsidR="00A3691D" w:rsidRPr="009F3DB2" w:rsidRDefault="00A3691D" w:rsidP="00874F36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128"/>
        <w:gridCol w:w="1488"/>
        <w:gridCol w:w="1744"/>
        <w:gridCol w:w="1027"/>
      </w:tblGrid>
      <w:tr w:rsidR="00A3691D" w:rsidRPr="009F3DB2" w14:paraId="2C5C7FDF" w14:textId="77777777" w:rsidTr="00A3691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20843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83A584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Fixed Accuracy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71951D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Training Examples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726368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covariates</w:t>
            </w:r>
            <w:proofErr w:type="gramEnd"/>
          </w:p>
        </w:tc>
      </w:tr>
      <w:tr w:rsidR="00A3691D" w:rsidRPr="009F3DB2" w14:paraId="1480A175" w14:textId="77777777" w:rsidTr="00A3691D">
        <w:tc>
          <w:tcPr>
            <w:tcW w:w="0" w:type="auto"/>
          </w:tcPr>
          <w:p w14:paraId="73A267D9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GAM</w:t>
            </w:r>
          </w:p>
        </w:tc>
        <w:tc>
          <w:tcPr>
            <w:tcW w:w="0" w:type="auto"/>
          </w:tcPr>
          <w:p w14:paraId="3876E7DE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0.7131</w:t>
            </w:r>
          </w:p>
        </w:tc>
        <w:tc>
          <w:tcPr>
            <w:tcW w:w="0" w:type="auto"/>
          </w:tcPr>
          <w:p w14:paraId="44AA0930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9000</w:t>
            </w:r>
          </w:p>
        </w:tc>
        <w:tc>
          <w:tcPr>
            <w:tcW w:w="0" w:type="auto"/>
          </w:tcPr>
          <w:p w14:paraId="4A2F5299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3691D" w:rsidRPr="009F3DB2" w14:paraId="0C11D3F9" w14:textId="77777777" w:rsidTr="00A3691D">
        <w:tc>
          <w:tcPr>
            <w:tcW w:w="0" w:type="auto"/>
          </w:tcPr>
          <w:p w14:paraId="25BED23B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GBM-BRT</w:t>
            </w:r>
          </w:p>
        </w:tc>
        <w:tc>
          <w:tcPr>
            <w:tcW w:w="0" w:type="auto"/>
          </w:tcPr>
          <w:p w14:paraId="2493FB46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0.8087</w:t>
            </w:r>
          </w:p>
        </w:tc>
        <w:tc>
          <w:tcPr>
            <w:tcW w:w="0" w:type="auto"/>
          </w:tcPr>
          <w:p w14:paraId="5C1B7E1A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</w:tcPr>
          <w:p w14:paraId="25C184D6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3691D" w:rsidRPr="009F3DB2" w14:paraId="2077BB52" w14:textId="77777777" w:rsidTr="00A3691D">
        <w:tc>
          <w:tcPr>
            <w:tcW w:w="0" w:type="auto"/>
          </w:tcPr>
          <w:p w14:paraId="22FD9CD9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MARS</w:t>
            </w:r>
          </w:p>
        </w:tc>
        <w:tc>
          <w:tcPr>
            <w:tcW w:w="0" w:type="auto"/>
          </w:tcPr>
          <w:p w14:paraId="7676FCCE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0.7722</w:t>
            </w:r>
          </w:p>
        </w:tc>
        <w:tc>
          <w:tcPr>
            <w:tcW w:w="0" w:type="auto"/>
          </w:tcPr>
          <w:p w14:paraId="4DCD7215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0" w:type="auto"/>
          </w:tcPr>
          <w:p w14:paraId="5D9E6439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3691D" w:rsidRPr="009F3DB2" w14:paraId="49A84A27" w14:textId="77777777" w:rsidTr="00A3691D">
        <w:tc>
          <w:tcPr>
            <w:tcW w:w="0" w:type="auto"/>
          </w:tcPr>
          <w:p w14:paraId="2C59FFBF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RF</w:t>
            </w:r>
          </w:p>
        </w:tc>
        <w:tc>
          <w:tcPr>
            <w:tcW w:w="0" w:type="auto"/>
          </w:tcPr>
          <w:p w14:paraId="13B51CC1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0.8523</w:t>
            </w:r>
          </w:p>
        </w:tc>
        <w:tc>
          <w:tcPr>
            <w:tcW w:w="0" w:type="auto"/>
          </w:tcPr>
          <w:p w14:paraId="261CCDD7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</w:tcPr>
          <w:p w14:paraId="3A116DA6" w14:textId="77777777" w:rsidR="00A3691D" w:rsidRPr="009F3DB2" w:rsidRDefault="00A3691D" w:rsidP="00A3691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3DB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583193A2" w14:textId="7F252AFD" w:rsidR="00A3691D" w:rsidRPr="009F3DB2" w:rsidRDefault="00A3691D" w:rsidP="00A3691D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</w:rPr>
      </w:pPr>
      <w:r w:rsidRPr="009F3DB2">
        <w:rPr>
          <w:rFonts w:ascii="Times New Roman" w:hAnsi="Times New Roman" w:cs="Times New Roman"/>
          <w:b/>
          <w:i/>
          <w:sz w:val="20"/>
          <w:szCs w:val="20"/>
        </w:rPr>
        <w:t>Table 4</w:t>
      </w:r>
      <w:r w:rsidRPr="009F3DB2">
        <w:rPr>
          <w:rFonts w:ascii="Times New Roman" w:hAnsi="Times New Roman" w:cs="Times New Roman"/>
          <w:sz w:val="20"/>
          <w:szCs w:val="20"/>
        </w:rPr>
        <w:t xml:space="preserve"> Accuracy-Maximizing Points for each SDM</w:t>
      </w:r>
    </w:p>
    <w:p w14:paraId="794CAC7C" w14:textId="77777777" w:rsidR="00A3691D" w:rsidRPr="009F3DB2" w:rsidRDefault="00A3691D" w:rsidP="00874F36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</w:rPr>
      </w:pPr>
    </w:p>
    <w:p w14:paraId="63112DBA" w14:textId="77777777" w:rsidR="00874F36" w:rsidRPr="009F3DB2" w:rsidRDefault="00874F36" w:rsidP="004D7CDD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</w:rPr>
      </w:pPr>
    </w:p>
    <w:p w14:paraId="5F8DF513" w14:textId="77777777" w:rsidR="005F6597" w:rsidRPr="009F3DB2" w:rsidRDefault="005F6597">
      <w:pPr>
        <w:rPr>
          <w:rFonts w:ascii="Times New Roman" w:hAnsi="Times New Roman" w:cs="Times New Roman"/>
          <w:sz w:val="20"/>
          <w:szCs w:val="20"/>
        </w:rPr>
      </w:pPr>
    </w:p>
    <w:sectPr w:rsidR="005F6597" w:rsidRPr="009F3DB2" w:rsidSect="006E4C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DD"/>
    <w:rsid w:val="004D7CDD"/>
    <w:rsid w:val="005F6597"/>
    <w:rsid w:val="006D4053"/>
    <w:rsid w:val="006E4C78"/>
    <w:rsid w:val="00874F36"/>
    <w:rsid w:val="00875B41"/>
    <w:rsid w:val="009F3DB2"/>
    <w:rsid w:val="00A3691D"/>
    <w:rsid w:val="00C87C94"/>
    <w:rsid w:val="00D94B1B"/>
    <w:rsid w:val="00D95C69"/>
    <w:rsid w:val="00DA00C6"/>
    <w:rsid w:val="00E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18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CDD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7CD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4D7CDD"/>
    <w:rPr>
      <w:rFonts w:eastAsiaTheme="minorHAnsi"/>
    </w:rPr>
  </w:style>
  <w:style w:type="paragraph" w:customStyle="1" w:styleId="Compact">
    <w:name w:val="Compact"/>
    <w:basedOn w:val="BodyText"/>
    <w:qFormat/>
    <w:rsid w:val="004D7CDD"/>
    <w:pPr>
      <w:spacing w:before="36" w:after="3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D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DD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CDD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7CD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4D7CDD"/>
    <w:rPr>
      <w:rFonts w:eastAsiaTheme="minorHAnsi"/>
    </w:rPr>
  </w:style>
  <w:style w:type="paragraph" w:customStyle="1" w:styleId="Compact">
    <w:name w:val="Compact"/>
    <w:basedOn w:val="BodyText"/>
    <w:qFormat/>
    <w:rsid w:val="004D7CDD"/>
    <w:pPr>
      <w:spacing w:before="36" w:after="3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D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DD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296</Words>
  <Characters>1691</Characters>
  <Application>Microsoft Macintosh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3</cp:revision>
  <dcterms:created xsi:type="dcterms:W3CDTF">2017-01-16T16:30:00Z</dcterms:created>
  <dcterms:modified xsi:type="dcterms:W3CDTF">2017-01-18T13:32:00Z</dcterms:modified>
</cp:coreProperties>
</file>