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2026 深圳大学 AI4S 智能体创新大赛提交包</w:t>
      </w:r>
    </w:p>
    <w:p/>
    <w:p>
      <w:r>
        <w:t>项目名称：</w:t>
      </w:r>
    </w:p>
    <w:p/>
    <w:p>
      <w:pPr>
        <w:pStyle w:val="NoSpacing"/>
      </w:pPr>
      <w:r>
        <w:t>ResearchArena-Focused AI Research Agent</w:t>
      </w:r>
    </w:p>
    <w:p/>
    <w:p>
      <w:r>
        <w:t>一句话简介：</w:t>
      </w:r>
    </w:p>
    <w:p/>
    <w:p>
      <w:pPr>
        <w:pStyle w:val="NoSpacing"/>
      </w:pPr>
      <w:r>
        <w:t>一个面向 AI for Science 科研选题、方案设计与实验执行的自动化智能体：输入科研任务后，自动检索论文、分析 baseline 缺陷、生成细粒度 idea、生成实验计划、多模型盲评、自动修复、核查论文证据，并在 IAD 方向接入真实数据、baseline reproduction 和人工授权实验执行器，形成从 idea 到 execution feedback 的闭环。</w:t>
      </w:r>
    </w:p>
    <w:p/>
    <w:p>
      <w:pPr>
        <w:pStyle w:val="Heading2"/>
      </w:pPr>
      <w:r>
        <w:t>提交材料对应关系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比赛要求</w:t>
            </w:r>
          </w:p>
        </w:tc>
        <w:tc>
          <w:tcPr>
            <w:tcW w:type="dxa" w:w="4320"/>
          </w:tcPr>
          <w:p>
            <w:r>
              <w:t>本提交包路径</w:t>
            </w:r>
          </w:p>
        </w:tc>
      </w:tr>
      <w:tr>
        <w:tc>
          <w:tcPr>
            <w:tcW w:type="dxa" w:w="4320"/>
          </w:tcPr>
          <w:p>
            <w:r>
              <w:t>智能体详细设计文档</w:t>
            </w:r>
          </w:p>
        </w:tc>
        <w:tc>
          <w:tcPr>
            <w:tcW w:type="dxa" w:w="4320"/>
          </w:tcPr>
          <w:p>
            <w:r>
              <w:t>01_design_doc/AI4S_AGENT_DETAILED_DESIGN_CN.md</w:t>
            </w:r>
          </w:p>
        </w:tc>
      </w:tr>
      <w:tr>
        <w:tc>
          <w:tcPr>
            <w:tcW w:type="dxa" w:w="4320"/>
          </w:tcPr>
          <w:p>
            <w:r>
              <w:t>Docker 镜像部署包或远程调用接口说明</w:t>
            </w:r>
          </w:p>
        </w:tc>
        <w:tc>
          <w:tcPr>
            <w:tcW w:type="dxa" w:w="4320"/>
          </w:tcPr>
          <w:p>
            <w:r>
              <w:t>02_deployment/DEPLOYMENT_AND_API_GUIDE_CN.md</w:t>
            </w:r>
          </w:p>
        </w:tc>
      </w:tr>
      <w:tr>
        <w:tc>
          <w:tcPr>
            <w:tcW w:type="dxa" w:w="4320"/>
          </w:tcPr>
          <w:p>
            <w:r>
              <w:t>三分钟以内演示视频</w:t>
            </w:r>
          </w:p>
        </w:tc>
        <w:tc>
          <w:tcPr>
            <w:tcW w:type="dxa" w:w="4320"/>
          </w:tcPr>
          <w:p>
            <w:r>
              <w:t>03_demo_video/THREE_MINUTE_DEMO_SCRIPT_CN.md</w:t>
            </w:r>
          </w:p>
        </w:tc>
      </w:tr>
      <w:tr>
        <w:tc>
          <w:tcPr>
            <w:tcW w:type="dxa" w:w="4320"/>
          </w:tcPr>
          <w:p>
            <w:r>
              <w:t>代码包</w:t>
            </w:r>
          </w:p>
        </w:tc>
        <w:tc>
          <w:tcPr>
            <w:tcW w:type="dxa" w:w="4320"/>
          </w:tcPr>
          <w:p>
            <w:r>
              <w:t>04_code_package/competition_github_release_20260724.tar.gz</w:t>
            </w:r>
          </w:p>
        </w:tc>
      </w:tr>
      <w:tr>
        <w:tc>
          <w:tcPr>
            <w:tcW w:type="dxa" w:w="4320"/>
          </w:tcPr>
          <w:p>
            <w:r>
              <w:t>证据附录</w:t>
            </w:r>
          </w:p>
        </w:tc>
        <w:tc>
          <w:tcPr>
            <w:tcW w:type="dxa" w:w="4320"/>
          </w:tcPr>
          <w:p>
            <w:r>
              <w:t>05_evidence_appendix/</w:t>
            </w:r>
          </w:p>
        </w:tc>
      </w:tr>
    </w:tbl>
    <w:p/>
    <w:p>
      <w:pPr>
        <w:pStyle w:val="Heading2"/>
      </w:pPr>
      <w:r>
        <w:t>评分维度对齐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评分维度</w:t>
            </w:r>
          </w:p>
        </w:tc>
        <w:tc>
          <w:tcPr>
            <w:tcW w:type="dxa" w:w="2880"/>
          </w:tcPr>
          <w:p>
            <w:r>
              <w:t>权重</w:t>
            </w:r>
          </w:p>
        </w:tc>
        <w:tc>
          <w:tcPr>
            <w:tcW w:type="dxa" w:w="2880"/>
          </w:tcPr>
          <w:p>
            <w:r>
              <w:t>我们的对应亮点</w:t>
            </w:r>
          </w:p>
        </w:tc>
      </w:tr>
      <w:tr>
        <w:tc>
          <w:tcPr>
            <w:tcW w:type="dxa" w:w="2880"/>
          </w:tcPr>
          <w:p>
            <w:r>
              <w:t>科学与应用价值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面向科研 idea generation 与实验方案设计，覆盖 IAD、物理属性预测、室内 3D 场景生成三个 AI4S/CV 科研任务。</w:t>
            </w:r>
          </w:p>
        </w:tc>
      </w:tr>
      <w:tr>
        <w:tc>
          <w:tcPr>
            <w:tcW w:type="dxa" w:w="2880"/>
          </w:tcPr>
          <w:p>
            <w:r>
              <w:t>技术深度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evidence-grounded ideation、targeted repair、multi-LLM blind review、reference claim verification、execution-feedback repair、authorized experiment executor。</w:t>
            </w:r>
          </w:p>
        </w:tc>
      </w:tr>
      <w:tr>
        <w:tc>
          <w:tcPr>
            <w:tcW w:type="dxa" w:w="2880"/>
          </w:tcPr>
          <w:p>
            <w:r>
              <w:t>技术落地性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已有可运行脚本、schema、报告生成链路；IAD 接入 MVTec AD smoke test，并支持人工授权后自动复现 baseline / 运行 agent / 汇总指标。</w:t>
            </w:r>
          </w:p>
        </w:tc>
      </w:tr>
      <w:tr>
        <w:tc>
          <w:tcPr>
            <w:tcW w:type="dxa" w:w="2880"/>
          </w:tcPr>
          <w:p>
            <w:r>
              <w:t>演示效果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三分钟展示从任务输入到最终研究方案、授权实验执行和 IAD 执行反馈的完整闭环。</w:t>
            </w:r>
          </w:p>
        </w:tc>
      </w:tr>
    </w:tbl>
    <w:p/>
    <w:p>
      <w:pPr>
        <w:pStyle w:val="Heading2"/>
      </w:pPr>
      <w:r>
        <w:t>关键能力：网页 workflow + 授权实验执行</w:t>
      </w:r>
    </w:p>
    <w:p/>
    <w:p>
      <w:r>
        <w:t>为了避免系统只停留在 idea generation，本提交包提供了网页端 workflow 和授权实验执行入口：</w:t>
      </w:r>
    </w:p>
    <w:p/>
    <w:p>
      <w:pPr>
        <w:pStyle w:val="NoSpacing"/>
      </w:pPr>
      <w:r>
        <w:t>03_demo_video/demo_assets/AI4S_RESEARCH_AGENT_DEMO.html</w:t>
      </w:r>
    </w:p>
    <w:p>
      <w:pPr>
        <w:pStyle w:val="NoSpacing"/>
      </w:pPr>
      <w:r>
        <w:t>03_demo_video/demo_assets/start_demo_server.py</w:t>
      </w:r>
    </w:p>
    <w:p>
      <w:pPr>
        <w:pStyle w:val="NoSpacing"/>
      </w:pPr>
      <w:r>
        <w:t>02_deployment/DEPLOYMENT_AND_API_GUIDE_CN.md</w:t>
      </w:r>
    </w:p>
    <w:p/>
    <w:p>
      <w:r>
        <w:t>网页 demo 支持用户输入“研究方向 + 具体想做的任务 + 任务类型（增量改进 / 指标提升 / 工程拼接 / 评价协议 / 系统优化）”，系统输出详细 idea 解释、相关 baseline、改进点、论文证据和实验方案计划。</w:t>
      </w:r>
    </w:p>
    <w:p/>
    <w:p>
      <w:r>
        <w:t>进入实验阶段后，页面会要求用户确认数据集路径、模型接口配置和是否授权执行。网页本身不执行用户输入的任意命令，而是请求本地 `start_demo_server.py` 调用固定 allowlist runner；当前真实可执行 runner 已接入 IAD scaffold，陌生方向会生成任务级 runner scaffold 和执行计划，不伪造未运行实验结果。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