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3855" w14:textId="77777777" w:rsidR="00DE66C0" w:rsidRDefault="00DE66C0" w:rsidP="00DE66C0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Este é o momento de pôr o máximo dos conceitos vistos até o momento em prática. Neste projeto de entrega de arquivo, vocês terão liberdade para escolher a base de dados que preferirem (desde que seja uma base pública), escolher um problema que achem interessante e entregar um Notebook contendo as etapas de um processo de modelagem com redes profunda, comentadas.</w:t>
      </w:r>
    </w:p>
    <w:p w14:paraId="35AEE2A8" w14:textId="77777777" w:rsidR="00DE66C0" w:rsidRDefault="00DE66C0" w:rsidP="00DE66C0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Base de dados livre. Recomendações de bases: (</w:t>
      </w:r>
      <w:hyperlink r:id="rId4" w:tgtFrame="_blank" w:history="1">
        <w:r>
          <w:rPr>
            <w:rStyle w:val="Hyperlink"/>
            <w:rFonts w:ascii="inherit" w:hAnsi="inherit"/>
            <w:color w:val="AD3335"/>
            <w:sz w:val="27"/>
            <w:szCs w:val="27"/>
          </w:rPr>
          <w:t>https://keras.io/api/datasets/</w:t>
        </w:r>
      </w:hyperlink>
      <w:r>
        <w:rPr>
          <w:rFonts w:ascii="inherit" w:hAnsi="inherit"/>
          <w:color w:val="333333"/>
          <w:sz w:val="27"/>
          <w:szCs w:val="27"/>
        </w:rPr>
        <w:t> )</w:t>
      </w:r>
    </w:p>
    <w:p w14:paraId="113A0F57" w14:textId="77777777" w:rsidR="00DE66C0" w:rsidRDefault="00DE66C0" w:rsidP="00DE66C0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O notebook deve conter os seguintes itens:</w:t>
      </w:r>
    </w:p>
    <w:p w14:paraId="7B6B3AF1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1. Aquisição e visualização da base de dados.</w:t>
      </w:r>
    </w:p>
    <w:p w14:paraId="5BC1348C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 xml:space="preserve">2. </w:t>
      </w:r>
      <w:proofErr w:type="spellStart"/>
      <w:r>
        <w:rPr>
          <w:rFonts w:ascii="inherit" w:hAnsi="inherit"/>
          <w:color w:val="333333"/>
          <w:sz w:val="27"/>
          <w:szCs w:val="27"/>
        </w:rPr>
        <w:t>Pré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processamento da base de dados necessário para modelagem.</w:t>
      </w:r>
    </w:p>
    <w:p w14:paraId="1E09C896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3. Separação da base em conjuntos de treino teste e validação. 10% da base de treino deve ser usada para validação.</w:t>
      </w:r>
    </w:p>
    <w:p w14:paraId="7860E147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4. Definição dos dados marcados e métrica (s) de performance que será adotada para avaliar os experimentos.</w:t>
      </w:r>
    </w:p>
    <w:p w14:paraId="37AF693D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5. Escolha e construção da arquitetura profunda adotada para o problema.</w:t>
      </w:r>
    </w:p>
    <w:p w14:paraId="5F651A28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6. Executar 3 experimentos, definindo 3 combinações de parâmetros para a rede (por exemplo, profundidade, largura, funções de ativação). Para cada um dos experimentos (combinação de parâmetros) realizar ao menos 3 execuções, para conhecer o valor médio e desvio padrão da métrica de avaliação.</w:t>
      </w:r>
    </w:p>
    <w:p w14:paraId="44A957EF" w14:textId="77777777" w:rsidR="00DE66C0" w:rsidRDefault="00DE66C0" w:rsidP="00DE66C0">
      <w:pPr>
        <w:pStyle w:val="NormalWeb"/>
        <w:spacing w:before="0" w:beforeAutospacing="0" w:after="165" w:afterAutospacing="0"/>
        <w:ind w:left="45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>7. Apresentação dos resultados obtidos. Fazendo uma análise crítica sobre os resultados e o melhor dos 3 experimentos, e se os resultados foram significativamente diferentes. Por fim, faça também uma avaliação do tempo de treino, de predição e o custo computacional de cada modelo (quantidade de parâmetros treináveis de cada um dos modelos).</w:t>
      </w:r>
    </w:p>
    <w:p w14:paraId="2F9F38C7" w14:textId="77777777" w:rsidR="00DE66C0" w:rsidRDefault="00DE66C0" w:rsidP="00DE66C0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 xml:space="preserve">Entrega de um arquivo notebook </w:t>
      </w:r>
      <w:proofErr w:type="gramStart"/>
      <w:r>
        <w:rPr>
          <w:rFonts w:ascii="inherit" w:hAnsi="inherit"/>
          <w:color w:val="333333"/>
          <w:sz w:val="27"/>
          <w:szCs w:val="27"/>
        </w:rPr>
        <w:t>(.</w:t>
      </w:r>
      <w:proofErr w:type="spellStart"/>
      <w:r>
        <w:rPr>
          <w:rFonts w:ascii="inherit" w:hAnsi="inherit"/>
          <w:color w:val="333333"/>
          <w:sz w:val="27"/>
          <w:szCs w:val="27"/>
        </w:rPr>
        <w:t>ipynb</w:t>
      </w:r>
      <w:proofErr w:type="spellEnd"/>
      <w:proofErr w:type="gramEnd"/>
      <w:r>
        <w:rPr>
          <w:rFonts w:ascii="inherit" w:hAnsi="inherit"/>
          <w:color w:val="333333"/>
          <w:sz w:val="27"/>
          <w:szCs w:val="27"/>
        </w:rPr>
        <w:t xml:space="preserve">). Não esqueçam de salvar o notebook corretamente. Lembrem-se de checar se o </w:t>
      </w:r>
      <w:proofErr w:type="gramStart"/>
      <w:r>
        <w:rPr>
          <w:rFonts w:ascii="inherit" w:hAnsi="inherit"/>
          <w:color w:val="333333"/>
          <w:sz w:val="27"/>
          <w:szCs w:val="27"/>
        </w:rPr>
        <w:t>arquivo .</w:t>
      </w:r>
      <w:proofErr w:type="spellStart"/>
      <w:r>
        <w:rPr>
          <w:rFonts w:ascii="inherit" w:hAnsi="inherit"/>
          <w:color w:val="333333"/>
          <w:sz w:val="27"/>
          <w:szCs w:val="27"/>
        </w:rPr>
        <w:t>ipynb</w:t>
      </w:r>
      <w:proofErr w:type="spellEnd"/>
      <w:proofErr w:type="gramEnd"/>
      <w:r>
        <w:rPr>
          <w:rFonts w:ascii="inherit" w:hAnsi="inherit"/>
          <w:color w:val="333333"/>
          <w:sz w:val="27"/>
          <w:szCs w:val="27"/>
        </w:rPr>
        <w:t xml:space="preserve"> está salvo e as células (com as saídas) podem ser recuperadas pelo professor no momento da avaliação.</w:t>
      </w:r>
    </w:p>
    <w:p w14:paraId="0A51F2AD" w14:textId="77777777" w:rsidR="00DE66C0" w:rsidRDefault="00DE66C0" w:rsidP="00DE66C0">
      <w:pPr>
        <w:pStyle w:val="NormalWeb"/>
        <w:spacing w:before="0" w:beforeAutospacing="0" w:after="165" w:afterAutospacing="0"/>
        <w:jc w:val="both"/>
        <w:rPr>
          <w:rFonts w:ascii="Ubuntu" w:hAnsi="Ubuntu"/>
          <w:color w:val="333333"/>
        </w:rPr>
      </w:pPr>
      <w:r>
        <w:rPr>
          <w:rFonts w:ascii="inherit" w:hAnsi="inherit"/>
          <w:color w:val="333333"/>
          <w:sz w:val="27"/>
          <w:szCs w:val="27"/>
        </w:rPr>
        <w:t xml:space="preserve">Caso tenha problemas com imagens </w:t>
      </w:r>
      <w:proofErr w:type="gramStart"/>
      <w:r>
        <w:rPr>
          <w:rFonts w:ascii="inherit" w:hAnsi="inherit"/>
          <w:color w:val="333333"/>
          <w:sz w:val="27"/>
          <w:szCs w:val="27"/>
        </w:rPr>
        <w:t>dentro dos notebook</w:t>
      </w:r>
      <w:proofErr w:type="gramEnd"/>
      <w:r>
        <w:rPr>
          <w:rFonts w:ascii="inherit" w:hAnsi="inherit"/>
          <w:color w:val="333333"/>
          <w:sz w:val="27"/>
          <w:szCs w:val="27"/>
        </w:rPr>
        <w:t xml:space="preserve">, enviem o projeto como </w:t>
      </w:r>
      <w:proofErr w:type="spellStart"/>
      <w:r>
        <w:rPr>
          <w:rFonts w:ascii="inherit" w:hAnsi="inherit"/>
          <w:color w:val="333333"/>
          <w:sz w:val="27"/>
          <w:szCs w:val="27"/>
        </w:rPr>
        <w:t>Markdown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. Escolha a opção de salvar o notebook como </w:t>
      </w:r>
      <w:proofErr w:type="spellStart"/>
      <w:r>
        <w:rPr>
          <w:rFonts w:ascii="inherit" w:hAnsi="inherit"/>
          <w:color w:val="333333"/>
          <w:sz w:val="27"/>
          <w:szCs w:val="27"/>
        </w:rPr>
        <w:t>Markdown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(.</w:t>
      </w:r>
      <w:proofErr w:type="spellStart"/>
      <w:r>
        <w:rPr>
          <w:rFonts w:ascii="inherit" w:hAnsi="inherit"/>
          <w:color w:val="333333"/>
          <w:sz w:val="27"/>
          <w:szCs w:val="27"/>
        </w:rPr>
        <w:t>md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). O </w:t>
      </w:r>
      <w:proofErr w:type="spellStart"/>
      <w:r>
        <w:rPr>
          <w:rFonts w:ascii="inherit" w:hAnsi="inherit"/>
          <w:color w:val="333333"/>
          <w:sz w:val="27"/>
          <w:szCs w:val="27"/>
        </w:rPr>
        <w:t>Markdown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gera arquivos para cada imagem no notebook, então lembre de empacotar (.zip ou .</w:t>
      </w:r>
      <w:proofErr w:type="spellStart"/>
      <w:r>
        <w:rPr>
          <w:rFonts w:ascii="inherit" w:hAnsi="inherit"/>
          <w:color w:val="333333"/>
          <w:sz w:val="27"/>
          <w:szCs w:val="27"/>
        </w:rPr>
        <w:t>rar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) todos os arquivos, para que o </w:t>
      </w:r>
      <w:proofErr w:type="spellStart"/>
      <w:r>
        <w:rPr>
          <w:rFonts w:ascii="inherit" w:hAnsi="inherit"/>
          <w:color w:val="333333"/>
          <w:sz w:val="27"/>
          <w:szCs w:val="27"/>
        </w:rPr>
        <w:t>Markdown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possa ser aberto sem perdas das demais imagens.</w:t>
      </w:r>
    </w:p>
    <w:p w14:paraId="1853A968" w14:textId="26D869AC" w:rsidR="00A458FC" w:rsidRDefault="00A458FC"/>
    <w:sectPr w:rsidR="00A4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C0"/>
    <w:rsid w:val="00A458FC"/>
    <w:rsid w:val="00D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184F"/>
  <w15:chartTrackingRefBased/>
  <w15:docId w15:val="{0485C556-BDAC-46C4-9041-FFD06325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6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api/dataset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Alecsander</dc:creator>
  <cp:keywords/>
  <dc:description/>
  <cp:lastModifiedBy>Willian Alecsander</cp:lastModifiedBy>
  <cp:revision>1</cp:revision>
  <dcterms:created xsi:type="dcterms:W3CDTF">2022-12-12T17:07:00Z</dcterms:created>
  <dcterms:modified xsi:type="dcterms:W3CDTF">2022-12-12T17:12:00Z</dcterms:modified>
</cp:coreProperties>
</file>