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color w:val="C00000"/>
          <w:sz w:val="24"/>
        </w:rPr>
        <w:t>[PREENCHER: unidade]</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w:t>
      </w:r>
      <w:r>
        <w:rPr>
          <w:rFonts w:ascii="Arial" w:hAnsi="Arial" w:cs="Arial"/>
          <w:b/>
          <w:color w:val="C00000"/>
          <w:sz w:val="20"/>
        </w:rPr>
        <w:t>[PREENCHER: unidade]</w:t>
      </w:r>
      <w:r>
        <w:rPr>
          <w:rFonts w:ascii="Arial" w:hAnsi="Arial" w:cs="Arial"/>
          <w:sz w:val="20"/>
        </w:rPr>
        <w:t xml:space="preserve">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BMG Canvas</w:t>
      </w:r>
    </w:p>
    <w:p>
      <w:pPr>
        <w:spacing w:lineRule="auto" w:line="360" w:after="80"/>
        <w:ind w:firstLine="0"/>
        <w:jc w:val="left"/>
      </w:pPr>
      <w:r>
        <w:rPr>
          <w:rFonts w:ascii="Arial" w:hAnsi="Arial" w:cs="Arial"/>
          <w:sz w:val="24"/>
        </w:rPr>
        <w:t>1.4.2 Situação de aprendizagem</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1.1 EQUIPE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bl>
    <w:p>
      <w:pPr>
        <w:spacing w:after="120"/>
      </w:pPr>
    </w:p>
    <w:p>
      <w:pPr>
        <w:spacing w:lineRule="auto" w:line="360" w:after="120" w:before="0"/>
        <w:ind w:firstLine="709"/>
        <w:jc w:val="both"/>
      </w:pPr>
      <w:r>
        <w:rPr>
          <w:rFonts w:ascii="Arial" w:hAnsi="Arial" w:cs="Arial"/>
          <w:b/>
          <w:sz w:val="24"/>
        </w:rPr>
        <w:t>Unidade SENAI:</w:t>
      </w:r>
      <w:r>
        <w:rPr>
          <w:rFonts w:ascii="Arial" w:hAnsi="Arial" w:cs="Arial"/>
          <w:sz w:val="24"/>
        </w:rPr>
        <w:t xml:space="preserve"> </w:t>
      </w:r>
      <w:r>
        <w:rPr>
          <w:rFonts w:ascii="Arial" w:hAnsi="Arial" w:cs="Arial"/>
          <w:b/>
          <w:color w:val="C00000"/>
          <w:sz w:val="24"/>
        </w:rPr>
        <w:t>[PREENCHER]</w:t>
      </w:r>
    </w:p>
    <w:p>
      <w:pPr>
        <w:spacing w:lineRule="auto" w:line="360" w:after="120" w:before="0"/>
        <w:ind w:firstLine="709"/>
        <w:jc w:val="both"/>
      </w:pPr>
      <w:r>
        <w:rPr>
          <w:rFonts w:ascii="Arial" w:hAnsi="Arial" w:cs="Arial"/>
          <w:b/>
          <w:sz w:val="24"/>
        </w:rPr>
        <w:t>Instrutor orientador:</w:t>
      </w:r>
      <w:r>
        <w:rPr>
          <w:rFonts w:ascii="Arial" w:hAnsi="Arial" w:cs="Arial"/>
          <w:sz w:val="24"/>
        </w:rPr>
        <w:t xml:space="preserve"> </w:t>
      </w:r>
      <w:r>
        <w:rPr>
          <w:rFonts w:ascii="Arial" w:hAnsi="Arial" w:cs="Arial"/>
          <w:b/>
          <w:color w:val="C00000"/>
          <w:sz w:val="24"/>
        </w:rPr>
        <w:t>[PREENCHER]</w:t>
      </w: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A segurança de barragens de mineração depende, entre outros fatores, do monitoramento contínuo da poropressão no maciço, isto é, da pressão da água nos poros do solo, medida por instrumentos chamados piezômetros. Pelo princípio das tensões efetivas de Terzaghi (σ' = σ − u), quando a poropressão (u) sobe sem que a tensão total (σ) mude, a tensão efetiva (σ') cai, reduzindo a resistência ao cisalhamento do maciço e aumentando o risco de liquefação. Foi exatamente esse mecanismo, linha freática alta sem rebaixamento efetivo e auscultação deficiente, que os relatórios oficiais apontam como fator nas rupturas das barragens de Fundão (Mariana, 2015, 19 mortos) e B1 (Brumadinho, 2019, 270 mortos).</w:t>
      </w:r>
    </w:p>
    <w:p>
      <w:pPr>
        <w:spacing w:lineRule="auto" w:line="360" w:after="120" w:before="0"/>
        <w:ind w:firstLine="709"/>
        <w:jc w:val="both"/>
      </w:pPr>
      <w:r>
        <w:rPr>
          <w:rFonts w:ascii="Arial" w:hAnsi="Arial" w:cs="Arial"/>
          <w:sz w:val="24"/>
        </w:rPr>
        <w:t>O desafio SAGA, proposto pela Samarco Mineração S.A., parte de uma demanda concreta: hoje a leitura de piezômetros em boa parte das instalações ainda é feita manualmente, por equipe terceirizada que se desloca até o local com frequência periódica (semanal a mensal, em operação estabilizada). Esse modelo carrega três problemas: um custo recorrente relevante (a Samarco declara, no próprio edital do desafio, uma economia estimada de R$ 600 mil por ano ao substituir a medição manual terceirizada por monitoramento automatizado), o risco de a frequência de leitura não acompanhar a velocidade real de uma anomalia (uma leitura semanal pode não capturar a elevação de poropressão a tempo de disparar uma resposta) e a dependência de que alguém, fisicamente, esteja olhando o dado no momento certo.</w:t>
      </w:r>
    </w:p>
    <w:p>
      <w:pPr>
        <w:spacing w:lineRule="auto" w:line="360" w:after="120" w:before="0"/>
        <w:ind w:firstLine="709"/>
        <w:jc w:val="both"/>
      </w:pPr>
      <w:r>
        <w:rPr>
          <w:rFonts w:ascii="Arial" w:hAnsi="Arial" w:cs="Arial"/>
          <w:sz w:val="24"/>
        </w:rPr>
        <w:t>O problema, porém, é maior do que uma barragem específica. A legislação pós-Brumadinho (Lei 14.066/2020 e Resolução ANM 95/2022) passou a exigir monitoramento automatizado, em tempo real e em período integral, para barragens de Dano Potencial Associado (DPA) alto, mas essa automação profissional (piezômetros de corda vibrante, dataloggers, telemetria industrial) tem custo elevado e preço tipicamente "sob consulta". Segundo o Sistema Nacional de Informações sobre Segurança de Barragens (SNISB), o Brasil tem 28.043 barragens cadastradas, das quais apenas 6.210 estão enquadradas na Política Nacional de Segurança de Barragens (PNSB), ou seja, a esmagadora maioria das estruturas do país, incluindo pequenas barragens de água, açudes e aterros sanitários, segue sem instrumentação automatizada, lida manualmente ou não lida.</w:t>
      </w:r>
    </w:p>
    <w:p>
      <w:pPr>
        <w:spacing w:lineRule="auto" w:line="360" w:after="120" w:before="0"/>
        <w:ind w:firstLine="709"/>
        <w:jc w:val="both"/>
      </w:pPr>
      <w:r>
        <w:rPr>
          <w:rFonts w:ascii="Arial" w:hAnsi="Arial" w:cs="Arial"/>
          <w:sz w:val="24"/>
        </w:rPr>
        <w:t>Este projeto responde à demanda oficial do desafio SAGA (monitoramento contínuo de piezômetro, transmissão em tempo real, dashboard, histórico e alertas preventivos) e, ao mesmo tempo, evidencia que a solução construída se aplica à camada de estruturas que hoje não tem acesso a monitoramento automatizado por barreira de custo, não apenas às barragens de DPA alto que já são obrigadas por lei a monitorar.</w:t>
      </w:r>
    </w:p>
    <w:p>
      <w:pPr>
        <w:spacing w:lineRule="auto" w:line="360" w:after="120" w:before="240"/>
        <w:ind w:firstLine="0"/>
        <w:jc w:val="left"/>
      </w:pPr>
      <w:r>
        <w:rPr>
          <w:rFonts w:ascii="Arial" w:hAnsi="Arial" w:cs="Arial"/>
          <w:b/>
          <w:sz w:val="24"/>
        </w:rPr>
        <w:t>1.3 SOLUÇÃO</w:t>
      </w:r>
    </w:p>
    <w:p>
      <w:pPr>
        <w:spacing w:lineRule="auto" w:line="360" w:after="120" w:before="0"/>
        <w:ind w:firstLine="709"/>
        <w:jc w:val="both"/>
      </w:pPr>
      <w:r>
        <w:rPr>
          <w:rFonts w:ascii="Arial" w:hAnsi="Arial" w:cs="Arial"/>
          <w:sz w:val="24"/>
        </w:rPr>
        <w:t>O sistema é composto por um ESP32 com sensor de nível d'água que envia leituras a cada 10 segundos, via HTTP autenticado, para um Cloudflare Worker que grava os dados em um banco Cloudflare D1 (SQLite gerenciado). Um cron trigger de 1 minuto no próprio Worker executa um motor de alertas em três camadas que classifica cada leitura em NORMAL, ATENÇÃO ou CRÍTICO e dispara notificações por Telegram e/ou SMS (Twilio) nas transições de faixa. Um dashboard web hospedado no GitHub Pages consome os mesmos dados (últimas leituras e séries históricas) para exibir gráficos, mapa e histórico de eventos em tempo real. O firmware implementa store and forward: leituras feitas sem conectividade ficam retidas em buffer local, com timestamp obtido por NTP, e são reenviadas assim que a rede volta, sem perda de dados.</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Internet das Coisas (IoT) e sistemas embarcados, computação em nuvem serverless (Cloudflare Workers, D1 e KV) e instrumentação geotécnica aplicada à segurança de barragens.</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Soluções comerciais de automação de instrumentação geotécnica (piezômetro de corda vibrante, datalogger e telemetria industrial) já existem e atendem bem às barragens de DPA alto, mas a preço tipicamente "sob consulta", o que naturalmente restringe sua adoção à camada de estruturas com orçamento e obrigação legal para isso. Uma pesquisa de mercado conduzida durante o projeto confirmou esse ponto de forma direta: nenhum dos oito fabricantes e integradores pesquisados (Worldsensing, Geokon, Sisgeo, Ackcio, Encardio-rite, RST Instruments e Canary Systems, além de revendedores brasileiros) publica uma tabela de preços; todos direcionam o interessado para "fale com vendas". O único número concreto de custo de automação de instrumentação encontrado na pesquisa vem de um artigo técnico do IBRACON de 2007 sobre automação de medidores triortogonais (não piezômetros de corda vibrante, mas o dado mais próximo disponível): entre US$ 1.636 e US$ 2.370 por instrumento, quase vinte anos atrás.</w:t>
      </w:r>
    </w:p>
    <w:p>
      <w:pPr>
        <w:spacing w:lineRule="auto" w:line="360" w:after="120" w:before="0"/>
        <w:ind w:firstLine="709"/>
        <w:jc w:val="both"/>
      </w:pPr>
      <w:r>
        <w:rPr>
          <w:rFonts w:ascii="Arial" w:hAnsi="Arial" w:cs="Arial"/>
          <w:sz w:val="24"/>
        </w:rPr>
        <w:t xml:space="preserve">Este projeto não compete com essa automação profissional: ele democratiza o conceito de centro de monitoramento contínuo com alertas automáticos para a camada de barragens, açudes e aterros que hoje é lida à mão, a um custo de hardware por ponto estimado em R$ 150 a R$ 220 no cenário de protótipo (ver lista de compras em </w:t>
      </w:r>
      <w:r>
        <w:rPr>
          <w:rFonts w:ascii="Courier New" w:hAnsi="Courier New" w:cs="Courier New"/>
          <w:sz w:val="20"/>
        </w:rPr>
        <w:t>docs/PROTOTIPO_FISICO.md</w:t>
      </w:r>
      <w:r>
        <w:rPr>
          <w:rFonts w:ascii="Arial" w:hAnsi="Arial" w:cs="Arial"/>
          <w:sz w:val="24"/>
        </w:rPr>
        <w:t>), somado a um backend que opera dentro do free tier da Cloudflare. A proposta de valor central é trocar a detecção tardia (uma leitura manual periódica que só revela uma anomalia dias ou semanas depois de ela começar) por alerta preventivo, com notificação em até aproximadamente um minuto após a transição de faixa.</w:t>
      </w:r>
    </w:p>
    <w:p>
      <w:pPr>
        <w:spacing w:lineRule="auto" w:line="360" w:after="120" w:before="0"/>
        <w:ind w:firstLine="709"/>
        <w:jc w:val="both"/>
      </w:pPr>
      <w:r>
        <w:rPr>
          <w:rFonts w:ascii="Arial" w:hAnsi="Arial" w:cs="Arial"/>
          <w:sz w:val="24"/>
        </w:rPr>
        <w:t>Cabe uma ressalva honesta de terminologia: o protótipo, como construído hoje, mede coluna d'água por meio de um sensor ultrassônico, o que é tecnicamente mais próximo de um INA (indicador de nível d'água), que mede o nível freático geral, do que de um piezômetro de corda vibrante, cujo bulbo é selado com bentonita para isolar e medir a poropressão de uma camada específica do maciço. A diferença entre os dois está no elemento sensor e na instalação, não na eletrônica: toda a cadeia de telemetria, alertas e dashboard é idêntica para ambos os casos. Por isso o firmware foi desenhado com um contrato de "adapter" de sensor (</w:t>
      </w:r>
      <w:r>
        <w:rPr>
          <w:rFonts w:ascii="Courier New" w:hAnsi="Courier New" w:cs="Courier New"/>
          <w:sz w:val="20"/>
        </w:rPr>
        <w:t>piezometro_core.h</w:t>
      </w:r>
      <w:r>
        <w:rPr>
          <w:rFonts w:ascii="Arial" w:hAnsi="Arial" w:cs="Arial"/>
          <w:sz w:val="24"/>
        </w:rPr>
        <w:t xml:space="preserve"> mais arquivos </w:t>
      </w:r>
      <w:r>
        <w:rPr>
          <w:rFonts w:ascii="Courier New" w:hAnsi="Courier New" w:cs="Courier New"/>
          <w:sz w:val="20"/>
        </w:rPr>
        <w:t>sketch_*.ino</w:t>
      </w:r>
      <w:r>
        <w:rPr>
          <w:rFonts w:ascii="Arial" w:hAnsi="Arial" w:cs="Arial"/>
          <w:sz w:val="24"/>
        </w:rPr>
        <w:t xml:space="preserve"> intercambiáveis): para operar com um transdutor de pressão ou piezômetro de corda vibrante de verdade, bastaria escrever um novo adapter que leia o sinal do instrumento real e devolva a mesma grandeza (nível ou pressão), sem alterar o restante do sistema.</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 objetivo geral do projeto é desenvolver e demonstrar um sistema IoT de baixo custo para monitoramento contínuo do nível d'água em piezômetros de barragens, com transmissão em tempo real, histórico persistido e alertas preventivos automáticos.</w:t>
      </w:r>
    </w:p>
    <w:p>
      <w:pPr>
        <w:spacing w:lineRule="auto" w:line="360" w:after="120" w:before="0"/>
        <w:ind w:firstLine="709"/>
        <w:jc w:val="both"/>
      </w:pPr>
      <w:r>
        <w:rPr>
          <w:rFonts w:ascii="Arial" w:hAnsi="Arial" w:cs="Arial"/>
          <w:sz w:val="24"/>
        </w:rPr>
        <w:t>Como objetivos específicos, o projeto se propõe a medir continuamente o nível d'água por meio de um sensor embarcado no ESP32, a intervalos regulares de 10 segundos no protótipo, e a transmitir cada leitura em tempo real para um backend em nuvem, autenticado por chave de dispositivo. Propõe também persistir o histórico completo das leituras em um banco de dados consultável, sem limite de retenção dentro do free tier utilizado, e classificar cada leitura em três faixas de risco (NORMAL, ATENÇÃO e CRÍTICO) com limiares parametrizáveis, cujo padrão é 12 m e 15 m, refletindo que os valores de controle reais são definidos caso a caso pelo projetista geotécnico. A isso se soma a emissão de alertas automáticos por Telegram e/ou SMS em até aproximadamente um minuto após uma transição de faixa, mesmo sem ninguém observando o dashboard no momento, e por fim a operação com resiliência a queda de conectividade, por meio de store and forward com buffer local e timestamp via NTP, sem perda de leituras.</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b/>
          <w:sz w:val="24"/>
        </w:rPr>
        <w:t>Arquitetura geral.</w:t>
      </w:r>
      <w:r>
        <w:rPr>
          <w:rFonts w:ascii="Arial" w:hAnsi="Arial" w:cs="Arial"/>
          <w:sz w:val="24"/>
        </w:rPr>
        <w:t xml:space="preserve"> O ESP32, seja na simulação Wokwi ou na maquete física, lê o sensor de nível d'água a cada 10 segundos e publica cada leitura em </w:t>
      </w:r>
      <w:r>
        <w:rPr>
          <w:rFonts w:ascii="Courier New" w:hAnsi="Courier New" w:cs="Courier New"/>
          <w:sz w:val="20"/>
        </w:rPr>
        <w:t>POST /ingest</w:t>
      </w:r>
      <w:r>
        <w:rPr>
          <w:rFonts w:ascii="Arial" w:hAnsi="Arial" w:cs="Arial"/>
          <w:sz w:val="24"/>
        </w:rPr>
        <w:t xml:space="preserve">, em formato JSON, autenticado com a </w:t>
      </w:r>
      <w:r>
        <w:rPr>
          <w:rFonts w:ascii="Courier New" w:hAnsi="Courier New" w:cs="Courier New"/>
          <w:sz w:val="20"/>
        </w:rPr>
        <w:t>DEVICE_KEY</w:t>
      </w:r>
      <w:r>
        <w:rPr>
          <w:rFonts w:ascii="Arial" w:hAnsi="Arial" w:cs="Arial"/>
          <w:sz w:val="24"/>
        </w:rPr>
        <w:t xml:space="preserve"> no cabeçalho </w:t>
      </w:r>
      <w:r>
        <w:rPr>
          <w:rFonts w:ascii="Courier New" w:hAnsi="Courier New" w:cs="Courier New"/>
          <w:sz w:val="20"/>
        </w:rPr>
        <w:t>x-device-key</w:t>
      </w:r>
      <w:r>
        <w:rPr>
          <w:rFonts w:ascii="Arial" w:hAnsi="Arial" w:cs="Arial"/>
          <w:sz w:val="24"/>
        </w:rPr>
        <w:t xml:space="preserve">. O Cloudflare Worker recebe essa requisição, grava a leitura no Cloudflare D1 com deduplicação por índice único e, por meio de um cron trigger executado uma vez por minuto, roda o motor de alertas em três camadas, cujo estado fica em Cloudflare Workers KV; quando uma transição de faixa ocorre, o Worker aciona a Telegram Bot API e, opcionalmente, o Twilio para SMS. O dashboard, hospedado no GitHub Pages, apenas lê os dados por meio de </w:t>
      </w:r>
      <w:r>
        <w:rPr>
          <w:rFonts w:ascii="Courier New" w:hAnsi="Courier New" w:cs="Courier New"/>
          <w:sz w:val="20"/>
        </w:rPr>
        <w:t>GET /ultimos</w:t>
      </w:r>
      <w:r>
        <w:rPr>
          <w:rFonts w:ascii="Arial" w:hAnsi="Arial" w:cs="Arial"/>
          <w:sz w:val="24"/>
        </w:rPr>
        <w:t xml:space="preserve"> (última leitura de cada piezômetro) e </w:t>
      </w:r>
      <w:r>
        <w:rPr>
          <w:rFonts w:ascii="Courier New" w:hAnsi="Courier New" w:cs="Courier New"/>
          <w:sz w:val="20"/>
        </w:rPr>
        <w:t>GET /dados</w:t>
      </w:r>
      <w:r>
        <w:rPr>
          <w:rFonts w:ascii="Arial" w:hAnsi="Arial" w:cs="Arial"/>
          <w:sz w:val="24"/>
        </w:rPr>
        <w:t xml:space="preserve"> (série histórica agregada para os gráficos, com filtro por piezômetro e por janela de tempo). O ESP32 nunca fala diretamente com o banco de dados, e nenhum segredo de banco fica exposto no firmware nem no HTML público; todos os segredos ficam em secrets do Cloudflare, fora do repositório de código.</w:t>
      </w:r>
    </w:p>
    <w:p>
      <w:pPr>
        <w:spacing w:lineRule="auto" w:line="360" w:after="120" w:before="0"/>
        <w:ind w:firstLine="709"/>
        <w:jc w:val="both"/>
      </w:pPr>
      <w:r>
        <w:rPr>
          <w:rFonts w:ascii="Arial" w:hAnsi="Arial" w:cs="Arial"/>
          <w:sz w:val="24"/>
        </w:rPr>
        <w:t>Vale registrar, com honestidade metodológica, a evolução entre a primeira versão do sistema (v1) e a atual (v2, descrita acima). A v1 usava um proxy Node.js (</w:t>
      </w:r>
      <w:r>
        <w:rPr>
          <w:rFonts w:ascii="Courier New" w:hAnsi="Courier New" w:cs="Courier New"/>
          <w:sz w:val="20"/>
        </w:rPr>
        <w:t>server.js</w:t>
      </w:r>
      <w:r>
        <w:rPr>
          <w:rFonts w:ascii="Arial" w:hAnsi="Arial" w:cs="Arial"/>
          <w:sz w:val="24"/>
        </w:rPr>
        <w:t xml:space="preserve">) hospedado no Render, que ingeria as leituras do ESP32, repassava as consultas do dashboard ao InfluxDB Cloud e rodava o motor de alertas via </w:t>
      </w:r>
      <w:r>
        <w:rPr>
          <w:rFonts w:ascii="Courier New" w:hAnsi="Courier New" w:cs="Courier New"/>
          <w:sz w:val="20"/>
        </w:rPr>
        <w:t>setInterval</w:t>
      </w:r>
      <w:r>
        <w:rPr>
          <w:rFonts w:ascii="Arial" w:hAnsi="Arial" w:cs="Arial"/>
          <w:sz w:val="24"/>
        </w:rPr>
        <w:t>. Essa arquitetura foi substituída por três motivos documentados: o plano gratuito do Render hibernava após 15 minutos de inatividade, o que pausava o motor de alertas justamente quando ninguém estava olhando o dashboard, o pior momento possível para isso acontecer; o InfluxDB Cloud, no plano gratuito, tinha retenção de dados limitada a 30 dias em contas novas e exigia gerenciar tokens de leitura e escrita separados; e manter três serviços externos (Render, InfluxDB, GitHub Pages) para um protótipo de TCC adicionava complexidade operacional sem benefício correspondente. A v2 consolida ingestão, armazenamento e motor de alertas em uma única plataforma (Cloudflare), sem credenciais externas de banco de dados, com retenção ilimitada dentro do limite de armazenamento do free tier (cerca de 5 GB) e um cron trigger que nunca hiberna. A v1 não foi apagada do projeto: permanece preservada no histórico do git para eventual consulta comparativa, e a decisão de não voltar a ela é considerada fechada.</w:t>
      </w:r>
    </w:p>
    <w:p>
      <w:pPr>
        <w:spacing w:lineRule="auto" w:line="360" w:after="120" w:before="0"/>
        <w:ind w:firstLine="709"/>
        <w:jc w:val="both"/>
      </w:pPr>
      <w:r>
        <w:rPr>
          <w:rFonts w:ascii="Arial" w:hAnsi="Arial" w:cs="Arial"/>
          <w:b/>
          <w:sz w:val="24"/>
        </w:rPr>
        <w:t>Firmware.</w:t>
      </w:r>
      <w:r>
        <w:rPr>
          <w:rFonts w:ascii="Arial" w:hAnsi="Arial" w:cs="Arial"/>
          <w:sz w:val="24"/>
        </w:rPr>
        <w:t xml:space="preserve"> O firmware é dividido em um núcleo comum, </w:t>
      </w:r>
      <w:r>
        <w:rPr>
          <w:rFonts w:ascii="Courier New" w:hAnsi="Courier New" w:cs="Courier New"/>
          <w:sz w:val="20"/>
        </w:rPr>
        <w:t>firmware/piezometro_core.h</w:t>
      </w:r>
      <w:r>
        <w:rPr>
          <w:rFonts w:ascii="Arial" w:hAnsi="Arial" w:cs="Arial"/>
          <w:sz w:val="24"/>
        </w:rPr>
        <w:t xml:space="preserve">, que concentra a lógica de conexão WiFi, sincronização de hora via NTP, buffer de store and forward, envio HTTP, classificação de alertas locais e controle do display OLED, e em adapters de sensor específicos por cenário: </w:t>
      </w:r>
      <w:r>
        <w:rPr>
          <w:rFonts w:ascii="Courier New" w:hAnsi="Courier New" w:cs="Courier New"/>
          <w:sz w:val="20"/>
        </w:rPr>
        <w:t>firmware/sketch.ino</w:t>
      </w:r>
      <w:r>
        <w:rPr>
          <w:rFonts w:ascii="Arial" w:hAnsi="Arial" w:cs="Arial"/>
          <w:sz w:val="24"/>
        </w:rPr>
        <w:t xml:space="preserve"> para a simulação no Wokwi, que usa um BMP180, sensor barométrico, como stand-in (a pressão do slider é convertida em nível d'água simulado pela escala didática de 10 hPa igual a 1 m), e </w:t>
      </w:r>
      <w:r>
        <w:rPr>
          <w:rFonts w:ascii="Courier New" w:hAnsi="Courier New" w:cs="Courier New"/>
          <w:sz w:val="20"/>
        </w:rPr>
        <w:t>firmware/sketch_fisico_jsn_sr04t.ino</w:t>
      </w:r>
      <w:r>
        <w:rPr>
          <w:rFonts w:ascii="Arial" w:hAnsi="Arial" w:cs="Arial"/>
          <w:sz w:val="24"/>
        </w:rPr>
        <w:t xml:space="preserve"> para a maquete física (sensor ultrassônico JSN-SR04T medindo a distância até a água de verdade dentro de um tubo ou balde, convertida em nível pela escala </w:t>
      </w:r>
      <w:r>
        <w:rPr>
          <w:rFonts w:ascii="Courier New" w:hAnsi="Courier New" w:cs="Courier New"/>
          <w:sz w:val="20"/>
        </w:rPr>
        <w:t>ESCALA_M_POR_CM = 0,5</w:t>
      </w:r>
      <w:r>
        <w:rPr>
          <w:rFonts w:ascii="Arial" w:hAnsi="Arial" w:cs="Arial"/>
          <w:sz w:val="24"/>
        </w:rPr>
        <w:t>). Os dois adapters compartilham o mesmo núcleo; só a leitura do sensor muda, validando na prática o contrato de adapter descrito na justificativa.</w:t>
      </w:r>
    </w:p>
    <w:p>
      <w:pPr>
        <w:spacing w:lineRule="auto" w:line="360" w:after="120" w:before="0"/>
        <w:ind w:firstLine="709"/>
        <w:jc w:val="both"/>
      </w:pPr>
      <w:r>
        <w:rPr>
          <w:rFonts w:ascii="Arial" w:hAnsi="Arial" w:cs="Arial"/>
          <w:sz w:val="24"/>
        </w:rPr>
        <w:t>Em ambos os cenários, cada leitura recebe timestamp obtido por sincronização NTP, para que leituras acumuladas em buffer, durante uma queda de rede, sejam registradas com o instante real em que ocorreram, e não com o instante em que finalmente chegaram ao servidor. Alertas locais (LED verde, amarelo ou vermelho, buzzer, display OLED) reproduzem a mesma classificação de faixa do backend, de forma independente, e o sistema opera em modo degradado: uma falha no display OLED ou uma leitura de sensor fora da faixa válida não derruba a medição nem o envio dos dados; leituras inválidas simplesmente não entram no histórico, evitando poluir a série temporal com ruído de sensor. Na maquete física, essa robustez de leitura já parte do próprio sensor: o firmware calcula a mediana de cinco leituras espaçadas de 30 ms, descartando ecos fora da faixa útil (menor que 25 cm ou maior que 450 cm), o que se mostra mais robusto a ruído e eco espúrio do que uma leitura única.</w:t>
      </w:r>
    </w:p>
    <w:p>
      <w:pPr>
        <w:spacing w:lineRule="auto" w:line="360" w:after="120" w:before="0"/>
        <w:ind w:firstLine="709"/>
        <w:jc w:val="both"/>
      </w:pPr>
      <w:r>
        <w:rPr>
          <w:rFonts w:ascii="Arial" w:hAnsi="Arial" w:cs="Arial"/>
          <w:sz w:val="24"/>
        </w:rPr>
        <w:t>Além do modo sempre ligado usado na demonstração, o projeto já mantém, como opção de compilação independente do núcleo padrão, um modo de operação em campo baseado em deep sleep (</w:t>
      </w:r>
      <w:r>
        <w:rPr>
          <w:rFonts w:ascii="Courier New" w:hAnsi="Courier New" w:cs="Courier New"/>
          <w:sz w:val="20"/>
        </w:rPr>
        <w:t>firmware/piezometro_deep_sleep.h</w:t>
      </w:r>
      <w:r>
        <w:rPr>
          <w:rFonts w:ascii="Arial" w:hAnsi="Arial" w:cs="Arial"/>
          <w:sz w:val="24"/>
        </w:rPr>
        <w:t xml:space="preserve">). Nesse modo, o ESP32 acorda a cada cinco minutos, executa o ciclo completo de medição, conexão WiFi e envio em cerca de 15 segundos, e volta a dormir em modo de baixíssimo consumo. Como o </w:t>
      </w:r>
      <w:r>
        <w:rPr>
          <w:rFonts w:ascii="Courier New" w:hAnsi="Courier New" w:cs="Courier New"/>
          <w:sz w:val="20"/>
        </w:rPr>
        <w:t>esp_deep_sleep_start()</w:t>
      </w:r>
      <w:r>
        <w:rPr>
          <w:rFonts w:ascii="Arial" w:hAnsi="Arial" w:cs="Arial"/>
          <w:sz w:val="24"/>
        </w:rPr>
        <w:t xml:space="preserve"> reinicia o programa do zero a cada despertar, esse header mantém seu próprio buffer de leituras retidas em memória RTC, em vez de reaproveitar o buffer do núcleo padrão, e ressincroniza o NTP a cada ciclo. É um modo opt-in, habilitado por uma diretiva de compilação antes da inclusão do núcleo, pensado para a operação de campo real; a maquete de demonstração continua no modo sempre ligado, com LEDs, buzzer e OLED ativos o tempo todo, porque essa é a escolha certa para uma apresentação ao vivo à banca.</w:t>
      </w:r>
    </w:p>
    <w:p>
      <w:pPr>
        <w:spacing w:lineRule="auto" w:line="360" w:after="120" w:before="0"/>
        <w:ind w:firstLine="709"/>
        <w:jc w:val="both"/>
      </w:pPr>
      <w:r>
        <w:rPr>
          <w:rFonts w:ascii="Arial" w:hAnsi="Arial" w:cs="Arial"/>
          <w:b/>
          <w:sz w:val="24"/>
        </w:rPr>
        <w:t>A cadeia de confiança do dado.</w:t>
      </w:r>
      <w:r>
        <w:rPr>
          <w:rFonts w:ascii="Arial" w:hAnsi="Arial" w:cs="Arial"/>
          <w:sz w:val="24"/>
        </w:rPr>
        <w:t xml:space="preserve"> Um sistema de monitoramento de segurança de barragem só tem valor se o número exibido no dashboard for exatamente o que o sensor mediu, sem perda, duplicação ou disfarce no caminho. O projeto trata essa garantia de integridade como uma cadeia de elos explícitos. No transporte, a autenticação por </w:t>
      </w:r>
      <w:r>
        <w:rPr>
          <w:rFonts w:ascii="Courier New" w:hAnsi="Courier New" w:cs="Courier New"/>
          <w:sz w:val="20"/>
        </w:rPr>
        <w:t>DEVICE_KEY</w:t>
      </w:r>
      <w:r>
        <w:rPr>
          <w:rFonts w:ascii="Arial" w:hAnsi="Arial" w:cs="Arial"/>
          <w:sz w:val="24"/>
        </w:rPr>
        <w:t xml:space="preserve"> é fail-closed: sem a secret configurada no Worker, o endpoint </w:t>
      </w:r>
      <w:r>
        <w:rPr>
          <w:rFonts w:ascii="Courier New" w:hAnsi="Courier New" w:cs="Courier New"/>
          <w:sz w:val="20"/>
        </w:rPr>
        <w:t>/ingest</w:t>
      </w:r>
      <w:r>
        <w:rPr>
          <w:rFonts w:ascii="Arial" w:hAnsi="Arial" w:cs="Arial"/>
          <w:sz w:val="24"/>
        </w:rPr>
        <w:t xml:space="preserve"> responde com erro e nada entra no banco; com a secret configurada, uma chave incorreta é rejeitada, e a ausência ou o erro na chave nunca é tratado como "permitir e seguir". No armazenamento, um índice único sobre piezômetro e timestamp evita que o reenvio do buffer de store and forward (por exemplo, após uma confirmação HTTP perdida) duplique a mesma leitura, e cada linha guarda duas dimensões de tempo distintas: o instante da medição, definido pelo firmware via NTP, e o instante em que o Worker recebeu o dado, o que é necessário justamente porque, no store and forward, os dois instantes podem divergir. O histórico é, na prática, somente para inserção: a API não expõe nenhum endpoint de edição ou exclusão de leituras, apenas as rotas de ingestão e consulta. Na exibição, um dado velho nunca aparece disfarçado de normal: o frescor de cada piezômetro é calculado a partir do instante em que o servidor recebeu a última leitura, e não do relógio do dispositivo, de modo que, se esse prazo estourar, o painel mostra o estado neutro "sem sinal" em vez de continuar exibindo a última faixa de nível conhecida. Essa mesma lógica de "sem sinal" corresponde, no motor de alertas, à camada que trata o silêncio de um instrumento como uma condição de risco a ser monitorada, não como ausência de problema. O padrão comum a todas essas decisões é simples: na dúvida, o sistema prefere descartar, marcar como inválido ou exibir um estado neutro a inventar ou disfarçar um valor. Essa cadeia garante a integridade do dado por construção; ela não substitui a validade metrológica da medição, que depende de calibração contra uma referência e é tratada, em escala de bancada, no protocolo descrito na Viabilidade Técnica.</w:t>
      </w:r>
    </w:p>
    <w:p>
      <w:pPr>
        <w:spacing w:lineRule="auto" w:line="360" w:after="120" w:before="0"/>
        <w:ind w:firstLine="709"/>
        <w:jc w:val="both"/>
      </w:pPr>
      <w:r>
        <w:rPr>
          <w:rFonts w:ascii="Arial" w:hAnsi="Arial" w:cs="Arial"/>
          <w:b/>
          <w:sz w:val="24"/>
        </w:rPr>
        <w:t>Backend.</w:t>
      </w:r>
      <w:r>
        <w:rPr>
          <w:rFonts w:ascii="Arial" w:hAnsi="Arial" w:cs="Arial"/>
          <w:sz w:val="24"/>
        </w:rPr>
        <w:t xml:space="preserve"> O backend roda inteiramente em </w:t>
      </w:r>
      <w:r>
        <w:rPr>
          <w:rFonts w:ascii="Courier New" w:hAnsi="Courier New" w:cs="Courier New"/>
          <w:sz w:val="20"/>
        </w:rPr>
        <w:t>cloudflare-worker/</w:t>
      </w:r>
      <w:r>
        <w:rPr>
          <w:rFonts w:ascii="Arial" w:hAnsi="Arial" w:cs="Arial"/>
          <w:sz w:val="24"/>
        </w:rPr>
        <w:t xml:space="preserve">, dividido em sete módulos ES, cada um com uma responsabilidade única: </w:t>
      </w:r>
      <w:r>
        <w:rPr>
          <w:rFonts w:ascii="Courier New" w:hAnsi="Courier New" w:cs="Courier New"/>
          <w:sz w:val="20"/>
        </w:rPr>
        <w:t>index.js</w:t>
      </w:r>
      <w:r>
        <w:rPr>
          <w:rFonts w:ascii="Arial" w:hAnsi="Arial" w:cs="Arial"/>
          <w:sz w:val="24"/>
        </w:rPr>
        <w:t xml:space="preserve"> como roteador, que só orquestra </w:t>
      </w:r>
      <w:r>
        <w:rPr>
          <w:rFonts w:ascii="Courier New" w:hAnsi="Courier New" w:cs="Courier New"/>
          <w:sz w:val="20"/>
        </w:rPr>
        <w:t>fetch</w:t>
      </w:r>
      <w:r>
        <w:rPr>
          <w:rFonts w:ascii="Arial" w:hAnsi="Arial" w:cs="Arial"/>
          <w:sz w:val="24"/>
        </w:rPr>
        <w:t xml:space="preserve"> e </w:t>
      </w:r>
      <w:r>
        <w:rPr>
          <w:rFonts w:ascii="Courier New" w:hAnsi="Courier New" w:cs="Courier New"/>
          <w:sz w:val="20"/>
        </w:rPr>
        <w:t>scheduled</w:t>
      </w:r>
      <w:r>
        <w:rPr>
          <w:rFonts w:ascii="Arial" w:hAnsi="Arial" w:cs="Arial"/>
          <w:sz w:val="24"/>
        </w:rPr>
        <w:t xml:space="preserve">; </w:t>
      </w:r>
      <w:r>
        <w:rPr>
          <w:rFonts w:ascii="Courier New" w:hAnsi="Courier New" w:cs="Courier New"/>
          <w:sz w:val="20"/>
        </w:rPr>
        <w:t>config.js</w:t>
      </w:r>
      <w:r>
        <w:rPr>
          <w:rFonts w:ascii="Arial" w:hAnsi="Arial" w:cs="Arial"/>
          <w:sz w:val="24"/>
        </w:rPr>
        <w:t xml:space="preserve"> para configuração e constantes; </w:t>
      </w:r>
      <w:r>
        <w:rPr>
          <w:rFonts w:ascii="Courier New" w:hAnsi="Courier New" w:cs="Courier New"/>
          <w:sz w:val="20"/>
        </w:rPr>
        <w:t>http.js</w:t>
      </w:r>
      <w:r>
        <w:rPr>
          <w:rFonts w:ascii="Arial" w:hAnsi="Arial" w:cs="Arial"/>
          <w:sz w:val="24"/>
        </w:rPr>
        <w:t xml:space="preserve"> para CORS, respostas JSON e limites de payload; </w:t>
      </w:r>
      <w:r>
        <w:rPr>
          <w:rFonts w:ascii="Courier New" w:hAnsi="Courier New" w:cs="Courier New"/>
          <w:sz w:val="20"/>
        </w:rPr>
        <w:t>db.js</w:t>
      </w:r>
      <w:r>
        <w:rPr>
          <w:rFonts w:ascii="Arial" w:hAnsi="Arial" w:cs="Arial"/>
          <w:sz w:val="24"/>
        </w:rPr>
        <w:t xml:space="preserve"> para todas as queries ao D1; </w:t>
      </w:r>
      <w:r>
        <w:rPr>
          <w:rFonts w:ascii="Courier New" w:hAnsi="Courier New" w:cs="Courier New"/>
          <w:sz w:val="20"/>
        </w:rPr>
        <w:t>alertas.js</w:t>
      </w:r>
      <w:r>
        <w:rPr>
          <w:rFonts w:ascii="Arial" w:hAnsi="Arial" w:cs="Arial"/>
          <w:sz w:val="24"/>
        </w:rPr>
        <w:t xml:space="preserve"> para o motor de alertas e o estado no KV; </w:t>
      </w:r>
      <w:r>
        <w:rPr>
          <w:rFonts w:ascii="Courier New" w:hAnsi="Courier New" w:cs="Courier New"/>
          <w:sz w:val="20"/>
        </w:rPr>
        <w:t>notificacoes.js</w:t>
      </w:r>
      <w:r>
        <w:rPr>
          <w:rFonts w:ascii="Arial" w:hAnsi="Arial" w:cs="Arial"/>
          <w:sz w:val="24"/>
        </w:rPr>
        <w:t xml:space="preserve"> para a integração com Telegram e Twilio; e </w:t>
      </w:r>
      <w:r>
        <w:rPr>
          <w:rFonts w:ascii="Courier New" w:hAnsi="Courier New" w:cs="Courier New"/>
          <w:sz w:val="20"/>
        </w:rPr>
        <w:t>rotas.js</w:t>
      </w:r>
      <w:r>
        <w:rPr>
          <w:rFonts w:ascii="Arial" w:hAnsi="Arial" w:cs="Arial"/>
          <w:sz w:val="24"/>
        </w:rPr>
        <w:t xml:space="preserve"> para os handlers dos endpoints. Essa divisão segue uma regra de projeto adotada desde o início, de limite de aproximadamente 300 linhas por arquivo e uma responsabilidade por arquivo, para manter o código auditável.</w:t>
      </w:r>
    </w:p>
    <w:p>
      <w:pPr>
        <w:spacing w:lineRule="auto" w:line="360" w:after="120" w:before="0"/>
        <w:ind w:firstLine="709"/>
        <w:jc w:val="both"/>
      </w:pPr>
      <w:r>
        <w:rPr>
          <w:rFonts w:ascii="Arial" w:hAnsi="Arial" w:cs="Arial"/>
          <w:sz w:val="24"/>
        </w:rPr>
        <w:t xml:space="preserve">O motor de alertas roda em três camadas a cada ciclo do cron, de um minuto: a primeira é o nível, com histerese inspirada na norma ISA-18.2 de gerenciamento de alarmes, para evitar disparos repetidos por oscilação em torno do limiar; a segunda é a comunicação, que sinaliza quando um piezômetro para de enviar leituras; e a terceira é a taxa de variação, para sinalizar subidas anormalmente rápidas de nível. O estado de cada camada, incluindo a última faixa notificada e o histórico de reenvio, é persistido no Cloudflare Workers KV, já que um Worker não mantém estado em memória entre invocações; e, como o free tier de Workers KV permite apenas 1.000 escritas por dia, o motor grava no KV somente quando o estado muda de faixa, nunca de forma incondicional a cada ciclo, decisão de arquitetura deliberada. Outro cuidado relevante fica na agregação temporal usada pelos gráficos, que precisa dividir o timestamp por um bucket de tempo: o D1 e o SQLite fazem essa divisão em ponto flutuante por padrão, o que já foi identificado como um bug real em revisão de código e corrigido com um </w:t>
      </w:r>
      <w:r>
        <w:rPr>
          <w:rFonts w:ascii="Courier New" w:hAnsi="Courier New" w:cs="Courier New"/>
          <w:sz w:val="20"/>
        </w:rPr>
        <w:t>CAST</w:t>
      </w:r>
      <w:r>
        <w:rPr>
          <w:rFonts w:ascii="Arial" w:hAnsi="Arial" w:cs="Arial"/>
          <w:sz w:val="24"/>
        </w:rPr>
        <w:t xml:space="preserve"> explícito para inteiro; a regra é não regredir esse comportamento.</w:t>
      </w:r>
    </w:p>
    <w:p>
      <w:pPr>
        <w:spacing w:lineRule="auto" w:line="360" w:after="120" w:before="0"/>
        <w:ind w:firstLine="709"/>
        <w:jc w:val="both"/>
      </w:pPr>
      <w:r>
        <w:rPr>
          <w:rFonts w:ascii="Arial" w:hAnsi="Arial" w:cs="Arial"/>
          <w:b/>
          <w:sz w:val="24"/>
        </w:rPr>
        <w:t>Exportação de relatórios.</w:t>
      </w:r>
      <w:r>
        <w:rPr>
          <w:rFonts w:ascii="Arial" w:hAnsi="Arial" w:cs="Arial"/>
          <w:sz w:val="24"/>
        </w:rPr>
        <w:t xml:space="preserve"> O dashboard oferece dois formatos de exportação do histórico, ambos alimentados pela mesma função de coleta de dados, para que nunca divirjam entre si. O primeiro é um CSV pensado como evidência de auditoria: além das linhas de dados (data e hora, piezômetro, nível médio, mínimo, máximo, número de leituras no intervalo, status e qualidade), o arquivo carrega um bloco de metadados no topo com o instrumento consultado, o período solicitado, o intervalo de agregação, o momento em que o arquivo foi gerado, se a fonte era a API real ou o modo de simulação, e os limiares de atenção e crítico vigentes no momento da exportação. O segundo formato é uma planilha Excel formatada (gerada em SpreadsheetML), com título, cabeçalho colorido, status sinalizado por cor e uma seção de resumo do período, voltada a quem prefere um layout de leitura mais direta do que o CSV bruto. Em ambos os formatos, o status de cada intervalo é sempre calculado sobre o pico do intervalo, nunca sobre a média, para que um pico pontual de nível crítico dentro de um intervalo de média mais baixa não seja mascarado como normal.</w:t>
      </w:r>
    </w:p>
    <w:p>
      <w:pPr>
        <w:spacing w:lineRule="auto" w:line="360" w:after="120" w:before="0"/>
        <w:ind w:firstLine="709"/>
        <w:jc w:val="both"/>
      </w:pPr>
      <w:r>
        <w:rPr>
          <w:rFonts w:ascii="Arial" w:hAnsi="Arial" w:cs="Arial"/>
          <w:b/>
          <w:sz w:val="24"/>
        </w:rPr>
        <w:t>Dashboard.</w:t>
      </w:r>
      <w:r>
        <w:rPr>
          <w:rFonts w:ascii="Arial" w:hAnsi="Arial" w:cs="Arial"/>
          <w:sz w:val="24"/>
        </w:rPr>
        <w:t xml:space="preserve"> O dashboard (</w:t>
      </w:r>
      <w:r>
        <w:rPr>
          <w:rFonts w:ascii="Courier New" w:hAnsi="Courier New" w:cs="Courier New"/>
          <w:sz w:val="20"/>
        </w:rPr>
        <w:t>index.html</w:t>
      </w:r>
      <w:r>
        <w:rPr>
          <w:rFonts w:ascii="Arial" w:hAnsi="Arial" w:cs="Arial"/>
          <w:sz w:val="24"/>
        </w:rPr>
        <w:t xml:space="preserve"> mais </w:t>
      </w:r>
      <w:r>
        <w:rPr>
          <w:rFonts w:ascii="Courier New" w:hAnsi="Courier New" w:cs="Courier New"/>
          <w:sz w:val="20"/>
        </w:rPr>
        <w:t>assets/</w:t>
      </w:r>
      <w:r>
        <w:rPr>
          <w:rFonts w:ascii="Arial" w:hAnsi="Arial" w:cs="Arial"/>
          <w:sz w:val="24"/>
        </w:rPr>
        <w:t xml:space="preserve">) roda inteiramente no GitHub Pages, sem bundler: o HTML concentra apenas a estrutura, com cerca de 280 linhas, o CSS fica em </w:t>
      </w:r>
      <w:r>
        <w:rPr>
          <w:rFonts w:ascii="Courier New" w:hAnsi="Courier New" w:cs="Courier New"/>
          <w:sz w:val="20"/>
        </w:rPr>
        <w:t>assets/styles.css</w:t>
      </w:r>
      <w:r>
        <w:rPr>
          <w:rFonts w:ascii="Arial" w:hAnsi="Arial" w:cs="Arial"/>
          <w:sz w:val="24"/>
        </w:rPr>
        <w:t xml:space="preserve"> e a lógica é dividida em oito módulos JavaScript carregados em ordem de dependência (</w:t>
      </w:r>
      <w:r>
        <w:rPr>
          <w:rFonts w:ascii="Courier New" w:hAnsi="Courier New" w:cs="Courier New"/>
          <w:sz w:val="20"/>
        </w:rPr>
        <w:t>config</w:t>
      </w:r>
      <w:r>
        <w:rPr>
          <w:rFonts w:ascii="Arial" w:hAnsi="Arial" w:cs="Arial"/>
          <w:sz w:val="24"/>
        </w:rPr>
        <w:t xml:space="preserve">, </w:t>
      </w:r>
      <w:r>
        <w:rPr>
          <w:rFonts w:ascii="Courier New" w:hAnsi="Courier New" w:cs="Courier New"/>
          <w:sz w:val="20"/>
        </w:rPr>
        <w:t>util</w:t>
      </w:r>
      <w:r>
        <w:rPr>
          <w:rFonts w:ascii="Arial" w:hAnsi="Arial" w:cs="Arial"/>
          <w:sz w:val="24"/>
        </w:rPr>
        <w:t xml:space="preserve">, </w:t>
      </w:r>
      <w:r>
        <w:rPr>
          <w:rFonts w:ascii="Courier New" w:hAnsi="Courier New" w:cs="Courier New"/>
          <w:sz w:val="20"/>
        </w:rPr>
        <w:t>fontes</w:t>
      </w:r>
      <w:r>
        <w:rPr>
          <w:rFonts w:ascii="Arial" w:hAnsi="Arial" w:cs="Arial"/>
          <w:sz w:val="24"/>
        </w:rPr>
        <w:t xml:space="preserve">, </w:t>
      </w:r>
      <w:r>
        <w:rPr>
          <w:rFonts w:ascii="Courier New" w:hAnsi="Courier New" w:cs="Courier New"/>
          <w:sz w:val="20"/>
        </w:rPr>
        <w:t>estado</w:t>
      </w:r>
      <w:r>
        <w:rPr>
          <w:rFonts w:ascii="Arial" w:hAnsi="Arial" w:cs="Arial"/>
          <w:sz w:val="24"/>
        </w:rPr>
        <w:t xml:space="preserve">, </w:t>
      </w:r>
      <w:r>
        <w:rPr>
          <w:rFonts w:ascii="Courier New" w:hAnsi="Courier New" w:cs="Courier New"/>
          <w:sz w:val="20"/>
        </w:rPr>
        <w:t>graficos</w:t>
      </w:r>
      <w:r>
        <w:rPr>
          <w:rFonts w:ascii="Arial" w:hAnsi="Arial" w:cs="Arial"/>
          <w:sz w:val="24"/>
        </w:rPr>
        <w:t xml:space="preserve">, </w:t>
      </w:r>
      <w:r>
        <w:rPr>
          <w:rFonts w:ascii="Courier New" w:hAnsi="Courier New" w:cs="Courier New"/>
          <w:sz w:val="20"/>
        </w:rPr>
        <w:t>paineis</w:t>
      </w:r>
      <w:r>
        <w:rPr>
          <w:rFonts w:ascii="Arial" w:hAnsi="Arial" w:cs="Arial"/>
          <w:sz w:val="24"/>
        </w:rPr>
        <w:t xml:space="preserve">, </w:t>
      </w:r>
      <w:r>
        <w:rPr>
          <w:rFonts w:ascii="Courier New" w:hAnsi="Courier New" w:cs="Courier New"/>
          <w:sz w:val="20"/>
        </w:rPr>
        <w:t>exportar</w:t>
      </w:r>
      <w:r>
        <w:rPr>
          <w:rFonts w:ascii="Arial" w:hAnsi="Arial" w:cs="Arial"/>
          <w:sz w:val="24"/>
        </w:rPr>
        <w:t xml:space="preserve">, </w:t>
      </w:r>
      <w:r>
        <w:rPr>
          <w:rFonts w:ascii="Courier New" w:hAnsi="Courier New" w:cs="Courier New"/>
          <w:sz w:val="20"/>
        </w:rPr>
        <w:t>app</w:t>
      </w:r>
      <w:r>
        <w:rPr>
          <w:rFonts w:ascii="Arial" w:hAnsi="Arial" w:cs="Arial"/>
          <w:sz w:val="24"/>
        </w:rPr>
        <w:t>). Entre as funcionalidades principais estão a atualização em tempo real por polling a cada 10 segundos, os gráficos com média e pico por janela de tempo, o mapa dos piezômetros, a distinção visual entre alarme (condição atual) e evento (transição registrada no histórico), a indicação explícita de "sem sinal" quando um instrumento para de enviar leituras, e a exportação do histórico já descrita acima. Quando o backend não está acessível, o dashboard ativa um modo de simulação sinalizado por um banner destacado no topo da página, para que dados fictícios de demonstração nunca sejam confundidos com leituras reais.</w:t>
      </w:r>
    </w:p>
    <w:p>
      <w:pPr>
        <w:spacing w:lineRule="auto" w:line="360" w:after="120" w:before="0"/>
        <w:ind w:firstLine="709"/>
        <w:jc w:val="both"/>
      </w:pPr>
      <w:r>
        <w:rPr>
          <w:rFonts w:ascii="Arial" w:hAnsi="Arial" w:cs="Arial"/>
          <w:b/>
          <w:sz w:val="24"/>
        </w:rPr>
        <w:t>Metodologia de trabalho.</w:t>
      </w:r>
      <w:r>
        <w:rPr>
          <w:rFonts w:ascii="Arial" w:hAnsi="Arial" w:cs="Arial"/>
          <w:sz w:val="24"/>
        </w:rPr>
        <w:t xml:space="preserve"> O desenvolvimento seguiu duas frentes paralelas e complementares: simulação no Wokwi, para iteração rápida de firmware e testes de alerta sem depender de hardware físico, e montagem de uma maquete física real (ESP32, JSN-SR04T e tubo com água, ver </w:t>
      </w:r>
      <w:r>
        <w:rPr>
          <w:rFonts w:ascii="Courier New" w:hAnsi="Courier New" w:cs="Courier New"/>
          <w:sz w:val="20"/>
        </w:rPr>
        <w:t>docs/PROTOTIPO_FISICO.md</w:t>
      </w:r>
      <w:r>
        <w:rPr>
          <w:rFonts w:ascii="Arial" w:hAnsi="Arial" w:cs="Arial"/>
          <w:sz w:val="24"/>
        </w:rPr>
        <w:t>), ambas falando com o mesmo backend em produção. O código foi versionado em git ao longo de todo o projeto, com a v1 preservada no histórico para rastreabilidade da decisão de migração, e o backend é publicado por deploy contínuo a partir do repositório, incluindo a aplicação automática das migrações de banco antes de cada publicação.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 xml:space="preserve">Todos os componentes de hardware usados no protótipo são de fácil acesso no mercado nacional (ESP32, sensor ultrassônico JSN-SR04T, display OLED, LEDs, buzzer; lista completa e fornecedores em </w:t>
      </w:r>
      <w:r>
        <w:rPr>
          <w:rFonts w:ascii="Courier New" w:hAnsi="Courier New" w:cs="Courier New"/>
          <w:sz w:val="20"/>
        </w:rPr>
        <w:t>docs/PROTOTIPO_FISICO.md</w:t>
      </w:r>
      <w:r>
        <w:rPr>
          <w:rFonts w:ascii="Arial" w:hAnsi="Arial" w:cs="Arial"/>
          <w:sz w:val="24"/>
        </w:rPr>
        <w:t>), sem depender de importação ou de peças especiais.</w:t>
      </w:r>
    </w:p>
    <w:p>
      <w:pPr>
        <w:spacing w:lineRule="auto" w:line="360" w:after="120" w:before="0"/>
        <w:ind w:firstLine="709"/>
        <w:jc w:val="both"/>
      </w:pPr>
      <w:r>
        <w:rPr>
          <w:rFonts w:ascii="Arial" w:hAnsi="Arial" w:cs="Arial"/>
          <w:sz w:val="24"/>
        </w:rPr>
        <w:t xml:space="preserve">A precisão do sensor utilizado na maquete física foi avaliada por um protocolo experimental descrito em </w:t>
      </w:r>
      <w:r>
        <w:rPr>
          <w:rFonts w:ascii="Courier New" w:hAnsi="Courier New" w:cs="Courier New"/>
          <w:sz w:val="20"/>
        </w:rPr>
        <w:t>docs/VALIDACAO_SENSOR.md</w:t>
      </w:r>
      <w:r>
        <w:rPr>
          <w:rFonts w:ascii="Arial" w:hAnsi="Arial" w:cs="Arial"/>
          <w:sz w:val="24"/>
        </w:rPr>
        <w:t>: cinco alturas de água conhecidas, medidas com régua, cada uma com dez leituras repetidas do sensor, calculando erro médio, desvio padrão e erro máximo por altura, e declarando a incerteza final como aproximadamente duas vezes o maior desvio padrão observado, regra prática de cerca de 95% de cobertura.</w:t>
      </w:r>
    </w:p>
    <w:p>
      <w:pPr>
        <w:spacing w:lineRule="auto" w:line="360" w:after="120" w:before="0"/>
        <w:ind w:firstLine="709"/>
        <w:jc w:val="both"/>
      </w:pPr>
      <w:r>
        <w:rPr>
          <w:rFonts w:ascii="Arial" w:hAnsi="Arial" w:cs="Arial"/>
          <w:b/>
          <w:color w:val="C00000"/>
          <w:sz w:val="24"/>
        </w:rPr>
        <w:t>[PREENCHER: resultados reais do ensaio de validação, erro médio em cm, desvio padrão em cm, erro máximo em cm, e a incerteza declarada final em ±Z cm (2σ), na faixa de coluna d'água testada]</w:t>
      </w:r>
      <w:r>
        <w:rPr>
          <w:rFonts w:ascii="Arial" w:hAnsi="Arial" w:cs="Arial"/>
          <w:sz w:val="24"/>
        </w:rPr>
        <w:t>.</w:t>
      </w:r>
    </w:p>
    <w:p>
      <w:pPr>
        <w:spacing w:lineRule="auto" w:line="360" w:after="120" w:before="0"/>
        <w:ind w:firstLine="709"/>
        <w:jc w:val="both"/>
      </w:pPr>
      <w:r>
        <w:rPr>
          <w:rFonts w:ascii="Arial" w:hAnsi="Arial" w:cs="Arial"/>
          <w:sz w:val="24"/>
        </w:rPr>
        <w:t>Quanto aos limites de operação em nuvem, o backend roda inteiramente dentro do free tier da Cloudflare para o volume do protótipo: o limite mais apertado é o de Workers KV, de 1.000 escritas por dia, já endereçado ao gravar o estado do motor de alertas apenas nas transições de faixa; o D1 comporta, na frequência de uma leitura a cada 10 segundos por ponto, até aproximadamente 11 pontos de monitoramento simultâneos dentro da cota de 100 mil escritas por dia, e, reduzindo a frequência para uma leitura por minuto, essa mesma cota comporta cerca de 69 pontos. Um crescimento além disso tem caminho definido: o plano Cloudflare Workers Paid, a partir de US$ 5 por mês (cerca de R$ 25 a R$ 30 por mês), custo irrisório frente a qualquer fração da economia estimada na viabilidade econômica.</w:t>
      </w:r>
    </w:p>
    <w:p>
      <w:pPr>
        <w:spacing w:lineRule="auto" w:line="360" w:after="120" w:before="0"/>
        <w:ind w:firstLine="709"/>
        <w:jc w:val="both"/>
      </w:pPr>
      <w:r>
        <w:rPr>
          <w:rFonts w:ascii="Arial" w:hAnsi="Arial" w:cs="Arial"/>
          <w:sz w:val="24"/>
        </w:rPr>
        <w:t>A alimentação elétrica também foi dimensionada com números, não apenas descrita qualitativamente. O consumo atual da maquete, sempre ligada (WiFi ativo, OLED e LEDs acesos), foi estimado em aproximadamente 30 Wh por dia. Uma instalação piloto alimentada por painel solar com bateria, mantendo o firmware exatamente como está hoje, custaria entre R$ 385 e R$ 660 (painel de 20 W, bateria de 12 V e 18 Ah, controlador de carga e conversor de tensão), com autonomia de cerca de três dias nublados seguidos. A mudança de maior impacto, porém, é o modo de deep sleep já descrito no desenvolvimento: acordar a cada cinco minutos em vez de manter o rádio sempre ativo reduz o consumo em cerca de 30 vezes, de 30 Wh por dia para menos de 1 Wh por dia, o que é exatamente a prática já adotada pelo mercado de instrumentação sem fio (nós de corda vibrante comerciais declaram até dez anos de autonomia de bateria por dormirem quase o tempo todo).</w:t>
      </w:r>
    </w:p>
    <w:p>
      <w:pPr>
        <w:spacing w:lineRule="auto" w:line="360" w:after="120" w:before="0"/>
        <w:ind w:firstLine="709"/>
        <w:jc w:val="both"/>
      </w:pPr>
      <w:r>
        <w:rPr>
          <w:rFonts w:ascii="Arial" w:hAnsi="Arial" w:cs="Arial"/>
          <w:sz w:val="24"/>
        </w:rPr>
        <w:t>O protótipo assume limitações que devem ser explicitadas: o sensor utilizado é um stand-in (BMP180 na simulação, sensor ultrassônico na maquete física), não um piezômetro de corda vibrante certificado; e o sistema não implementa a redundância de energia (bateria ou painel solar) exigida pela Resolução ANM 95/2022 para barragens de DPA alto, já que a maquete depende de alimentação de rede ou USB. O caminho para uma instalação de produção real passa pelo contrato de adapter já implementado no firmware: trocar o sensor por um transdutor de pressão ou piezômetro de corda vibrante certificado exigiria escrever um novo adapter, sem alterar o restante da arquitetura de backend, dashboard e motor de alertas.</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O edital do desafio SAGA declara, como estimativa da própria Samarco, uma economia de R$ 600 mil por ano ao substituir a medição manual terceirizada por monitoramento automatizado. Esse é um número emprestado do edital, não auditado por este trabalho: os alunos não tiveram acesso à memória de cálculo original da empresa.</w:t>
      </w:r>
    </w:p>
    <w:p>
      <w:pPr>
        <w:spacing w:lineRule="auto" w:line="360" w:after="120" w:before="0"/>
        <w:ind w:firstLine="709"/>
        <w:jc w:val="both"/>
      </w:pPr>
      <w:r>
        <w:rPr>
          <w:rFonts w:ascii="Arial" w:hAnsi="Arial" w:cs="Arial"/>
          <w:sz w:val="24"/>
        </w:rPr>
        <w:t>Para avaliar a plausibilidade da ordem de grandeza dessa economia, foi construída uma estimativa própria e independente, com premissas explícitas dos alunos, livremente ajustáveis. Considerando 20 piezômetros (ordem de grandeza razoável para uma barragem de porte médio), lidos cerca de duas vezes por semana (104 campanhas por ano, periodicidade comumente exigida em operação estabilizada) e um custo de R$ 350 por campanha (deslocamento, técnico terceirizado e relatório, estimativa própria dos alunos, não auditada), o custo anual da leitura manual chega a aproximadamente R$ 728.000. Contra isso, o custo do sistema proposto para os mesmos 20 pontos é de cerca de R$ 3.700 no ano de implantação (hardware, custo único, mais backend a custo zero dentro do free tier), caindo a praticamente zero por ano nos anos seguintes, fora manutenção e substituição eventual de sensores. A diferença entre os dois números resulta em uma economia estimada de aproximadamente R$ 724.000 no primeiro ano, uma estimativa própria e independente, não uma reprodução do número do edital, mas que confirma que a ordem de grandeza de centenas de milhares de reais por ano é plausível para essa comparação, sustentando o número declarado pela Samarco como coerente, sem validá-lo tecnicamente.</w:t>
      </w:r>
    </w:p>
    <w:p>
      <w:pPr>
        <w:spacing w:lineRule="auto" w:line="360" w:after="120" w:before="0"/>
        <w:ind w:firstLine="709"/>
        <w:jc w:val="both"/>
      </w:pPr>
      <w:r>
        <w:rPr>
          <w:rFonts w:ascii="Arial" w:hAnsi="Arial" w:cs="Arial"/>
          <w:sz w:val="24"/>
        </w:rPr>
        <w:t>Além dessa estimativa por ponto, é possível construir um cenário hipotético que chega justamente aos R$ 600 mil por ano do edital e mostra, item a item, onde o sistema corta o gasto. Um contrato terceirizado dedicado de R$ 50 mil por mês cobre, de forma realista, equipe de campo, veículo, combustível, EPIs, encargos, supervisão de engenheiro e relatórios para atender algo como cem piezômetros lidos duas vezes por semana, ordem de grandeza plausível para um complexo de barragens de grande porte. Nesse cenário, o sistema elimina as leituras de rotina (o dado passa a chegar sozinho a cada 10 segundos), elimina os deslocamentos extras motivados por suspeita de anomalia (o alerta por Telegram ou SMS em cerca de um minuto já identifica o instrumento e o valor) e elimina a digitação de prancheta para planilha e relatório (o histórico nasce digital, com exportação em CSV já pronta); a inspeção física periódica dos instrumentos permanece, como a norma exige, mas reduzida a cerca de uma visita mensal de manutenção em vez de oito visitas de leitura. Somando a implantação de cem pontos (entre R$ 83 mil e R$ 198 mil, uma vez), a operação recorrente da nuvem e manutenção (entre R$ 8 mil e R$ 20 mil por ano) e a inspeção remanescente (cerca de R$ 42 mil por ano em doze campanhas), o custo recorrente novo cai para a faixa de R$ 50 mil a R$ 62 mil por ano, ante os R$ 600 mil originais, uma redução de aproximadamente 90% no custo recorrente. Considerando a implantação, a economia já no primeiro ano fica entre R$ 340 mil e R$ 467 mil, e o retorno do investimento de implantação ocorre entre dois e quatro meses. É importante frisar que essa redução é de aproximadamente 90%, não de 100%: a inspeção física continua existindo, porque nenhuma norma aceita um instrumento que ninguém visita, e, numa operação real do porte da Samarco, o sensor seria de corda vibrante certificada, integrada à mesma plataforma pelo contrato de adapter do firmware.</w:t>
      </w:r>
    </w:p>
    <w:p>
      <w:pPr>
        <w:spacing w:lineRule="auto" w:line="360" w:after="120" w:before="0"/>
        <w:ind w:firstLine="709"/>
        <w:jc w:val="both"/>
      </w:pPr>
      <w:r>
        <w:rPr>
          <w:rFonts w:ascii="Arial" w:hAnsi="Arial" w:cs="Arial"/>
          <w:sz w:val="24"/>
        </w:rPr>
        <w:t>A precificação do produto foi construída por três métodos independentes que convergem para a mesma faixa de bom senso. Pelo método de custo mais margem, aplicando um markup típico de hardware embarcado de duas a três vezes sobre o custo de uma instalação de campo realista (entre R$ 586 e R$ 1.179 por ponto, já com transdutor de pressão e proteção industrial IP65), o preço fica entre R$ 1.170 e R$ 3.540 por ponto. Pelo método de referência competitiva, posicionando o produto entre 5% e 15% do preço da telemetria industrial (R$ 5.000 a R$ 20.000 por ponto), a faixa resultante é de R$ 250 a R$ 3.000. E pelo método baseado em valor, capturando entre 5% e 15% do custo evitado de R$ 36.400 por ano e por ponto de leitura manual, chega-se a um teto justificável de R$ 150 a R$ 455 por ponto e por mês. Os três métodos convergem para uma faixa comum de aproximadamente R$ 1.000 a R$ 3.500 por ponto instalado, muito abaixo dos R$ 5.000 a R$ 20.000 da telemetria industrial. O modelo comercial recomendado é híbrido: kit em comodato ou venda facilitada, somado a uma assinatura mensal de plataforma entre R$ 30 e R$ 80 por ponto, abaixo do teto de valor calculado, para manter competitividade na fase de tração inicial. Nesse modelo, o cliente recupera, com a economia evitada de R$ 36.400 por ano e por ponto, o custo do primeiro ano do sistema em menos de 46 dias, mesmo no cenário mais caro de venda do kit com assinatura alta.</w:t>
      </w:r>
    </w:p>
    <w:p>
      <w:pPr>
        <w:spacing w:lineRule="auto" w:line="360" w:after="120" w:before="0"/>
        <w:ind w:firstLine="709"/>
        <w:jc w:val="both"/>
      </w:pPr>
      <w:r>
        <w:rPr>
          <w:rFonts w:ascii="Arial" w:hAnsi="Arial" w:cs="Arial"/>
          <w:sz w:val="24"/>
        </w:rPr>
        <w:t>O dimensionamento de mercado segue a lógica de TAM, SAM e SOM. O TAM (mercado total endereçável), somando barragens do SNISB, aterros sanitários e municípios com área de risco em pontos de monitoramento potenciais, fica entre aproximadamente 98 mil e 277 mil pontos, o que representaria uma receita recorrente teórica entre R$ 35 milhões e R$ 266 milhões por ano na faixa de assinatura recomendada; essa faixa é deliberadamente ampla, servindo para mostrar ordem de grandeza, não uma meta. O SAM (mercado que a equipe consegue efetivamente alcançar com o modelo de negócio e os canais atuais), recortado para as barragens fora da PNSB e os aterros sanitários, fica entre aproximadamente 69 mil e 185 mil pontos. Já o SOM (mercado realista de conquistar em um horizonte de três a cinco anos), capturando entre 0,1% e 1% do SAM, fica entre aproximadamente 69 e 1.850 pontos, o que representaria uma receita recorrente da ordem de R$ 25 mil a R$ 1,8 milhão por ano.</w:t>
      </w:r>
    </w:p>
    <w:p>
      <w:pPr>
        <w:spacing w:lineRule="auto" w:line="360" w:after="120" w:before="0"/>
        <w:ind w:firstLine="709"/>
        <w:jc w:val="both"/>
      </w:pPr>
      <w:r>
        <w:rPr>
          <w:rFonts w:ascii="Arial" w:hAnsi="Arial" w:cs="Arial"/>
          <w:sz w:val="24"/>
        </w:rPr>
        <w:t>Vale um argumento final sobre quem, de fato, compraria este produto: uma empresa do porte da Samarco, com barragens de DPA alto sujeitas à Resolução ANM 95/2022, compraria telemetria industrial certificada, com corda vibrante e redundância de energia, não um sistema fundamentado em sensor stand-in. O desafio SAGA funciona como porta de entrada e validação de conceito, a demonstração de que a arquitetura funciona ponta a ponta, em tempo real, com alertas; o mercado comercial real deste produto é a camada dimensionada acima, as dezenas de milhares de barragens fora da PNSB e os setecentos aterros sanitários que hoje não têm acesso a nenhuma automação porque o preço "sob consulta" da telemetria industrial não cabe no orçamento deles.</w:t>
      </w: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 xml:space="preserve">O sistema foi demonstrado funcionando de ponta a ponta em dois cenários: simulação no Wokwi (ESP32 mais BMP180) e maquete física real (ESP32 mais JSN-SR04T medindo água de verdade dentro de um tubo). Em ambos os casos foram observados medição contínua a cada 10 segundos, transmissão em tempo real para o backend, persistência de histórico consultável no dashboard, classificação correta em NORMAL, ATENÇÃO e CRÍTICO nos limiares configurados (12 m e 15 m), alertas entregues por Telegram (e, quando configurado, SMS via Twilio) nas transições de faixa em até aproximadamente um minuto (ciclo do cron), e resiliência a queda de rede, com o buffer de store and forward retendo leituras localmente e reenviando-as sem perda assim que a conectividade retorna, demonstração roteirizada em </w:t>
      </w:r>
      <w:r>
        <w:rPr>
          <w:rFonts w:ascii="Courier New" w:hAnsi="Courier New" w:cs="Courier New"/>
          <w:sz w:val="20"/>
        </w:rPr>
        <w:t>docs/PROTOTIPO_FISICO.md</w:t>
      </w:r>
      <w:r>
        <w:rPr>
          <w:rFonts w:ascii="Arial" w:hAnsi="Arial" w:cs="Arial"/>
          <w:sz w:val="24"/>
        </w:rPr>
        <w:t>.</w:t>
      </w:r>
    </w:p>
    <w:p>
      <w:pPr>
        <w:spacing w:lineRule="auto" w:line="360" w:after="120" w:before="0"/>
        <w:ind w:firstLine="709"/>
        <w:jc w:val="both"/>
      </w:pPr>
      <w:r>
        <w:rPr>
          <w:rFonts w:ascii="Arial" w:hAnsi="Arial" w:cs="Arial"/>
          <w:b/>
          <w:color w:val="C00000"/>
          <w:sz w:val="24"/>
        </w:rPr>
        <w:t>[PREENCHER: resultados quantitativos do ensaio de validação do sensor, inserir aqui a mesma incerteza declarada (erro médio, desvio padrão, erro máximo, incerteza ±Z cm/2σ) já solicitada na seção de Viabilidade Técnica, como evidência quantitativa do funcionamento do protótipo]</w:t>
      </w:r>
      <w:r>
        <w:rPr>
          <w:rFonts w:ascii="Arial" w:hAnsi="Arial" w:cs="Arial"/>
          <w:sz w:val="24"/>
        </w:rPr>
        <w:t>.</w:t>
      </w:r>
    </w:p>
    <w:p>
      <w:pPr>
        <w:spacing w:lineRule="auto" w:line="360" w:after="120" w:before="0"/>
        <w:ind w:firstLine="709"/>
        <w:jc w:val="both"/>
      </w:pPr>
      <w:r>
        <w:rPr>
          <w:rFonts w:ascii="Arial" w:hAnsi="Arial" w:cs="Arial"/>
          <w:sz w:val="24"/>
        </w:rPr>
        <w:t>Ao longo do projeto, algumas melhorias de robustez foram identificadas e corrigidas, e valem ser registradas como evidência de método de engenharia, isto é, de um processo de identificar, corrigir e documentar, em vez de simplesmente declarar que o sistema "funciona". Entre elas estão a introdução de um modo degradado no firmware, em que uma falha isolada de display ou de leitura de sensor não derruba o envio dos demais dados; a deduplicação de leituras no armazenamento, para que reenvios do buffer de store and forward nunca dupliquem uma linha no histórico; e a correção de um falso estado de "sem sinal" que ocorria na simulação Wokwi, um bug identificado durante os testes e corrigido antes de comprometer a credibilidade das demonstrações. Cada uma dessas correções está documentada e é citada aqui não como um problema a esconder, mas como prova de que o projeto foi conduzido com revisão e correção contínuas, e não apenas com um resultado final apresentado sem histórico do caminho até ele.</w:t>
      </w:r>
    </w:p>
    <w:p>
      <w:pPr>
        <w:spacing w:lineRule="auto" w:line="360" w:after="120" w:before="0"/>
        <w:ind w:firstLine="709"/>
        <w:jc w:val="both"/>
      </w:pPr>
      <w:r>
        <w:rPr>
          <w:rFonts w:ascii="Arial" w:hAnsi="Arial" w:cs="Arial"/>
          <w:sz w:val="24"/>
        </w:rPr>
        <w:t>As limitações honestas do protótipo continuam sendo as mesmas destacadas ao longo do documento: o sensor utilizado é um stand-in de coluna d'água, mais próximo de um INA do que de um piezômetro de corda vibrante; não há redundância de energia como exige a Resolução ANM 95/2022 para barragens de DPA alto; e a validação de precisão realizada qualifica o sensor ultrassônico como medidor de coluna d'água em bancada, não substituindo uma validação de piezômetro real, que exigiria instrumento de referência certificado, ensaio em câmara de pressão controlada e comparação de campo contra um piezômetro Casagrande instalado. O sistema é, declaradamente, um protótipo de conceito.</w:t>
      </w:r>
    </w:p>
    <w:p>
      <w:pPr>
        <w:spacing w:lineRule="auto" w:line="360" w:after="120" w:before="0"/>
        <w:ind w:firstLine="709"/>
        <w:jc w:val="both"/>
      </w:pPr>
      <w:r>
        <w:rPr>
          <w:rFonts w:ascii="Arial" w:hAnsi="Arial" w:cs="Arial"/>
          <w:sz w:val="24"/>
        </w:rPr>
        <w:t xml:space="preserve">Entre os trabalhos futuros estão a substituição do sensor por um piezômetro de corda vibrante real, viabilizada pelo contrato de adapter já implementado; a adição de redundância de energia (painel solar e bateria) para atender ao requisito da ANM 95/2022, cujo dimensionamento já foi mapeado neste documento; a migração do firmware de campo para o modo de deep sleep já disponível como opção de compilação; a adoção de uma chave de autenticação por dispositivo, hoje uma única </w:t>
      </w:r>
      <w:r>
        <w:rPr>
          <w:rFonts w:ascii="Courier New" w:hAnsi="Courier New" w:cs="Courier New"/>
          <w:sz w:val="20"/>
        </w:rPr>
        <w:t>DEVICE_KEY</w:t>
      </w:r>
      <w:r>
        <w:rPr>
          <w:rFonts w:ascii="Arial" w:hAnsi="Arial" w:cs="Arial"/>
          <w:sz w:val="24"/>
        </w:rPr>
        <w:t xml:space="preserve"> compartilhada; e a conectividade via LoRaWAN para instalações de campo sem cobertura WiFi.</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BMG Canvas</w:t>
      </w:r>
    </w:p>
    <w:p>
      <w:pPr>
        <w:spacing w:lineRule="auto" w:line="360" w:after="120" w:before="0"/>
        <w:ind w:firstLine="709"/>
        <w:jc w:val="both"/>
      </w:pPr>
      <w:r>
        <w:rPr>
          <w:rFonts w:ascii="Arial" w:hAnsi="Arial" w:cs="Arial"/>
          <w:sz w:val="24"/>
        </w:rPr>
        <w:t xml:space="preserve">Esqueleto dos nove blocos do Business Model Canvas, com base no mercado e nos dados de </w:t>
      </w:r>
      <w:r>
        <w:rPr>
          <w:rFonts w:ascii="Courier New" w:hAnsi="Courier New" w:cs="Courier New"/>
          <w:sz w:val="20"/>
        </w:rPr>
        <w:t>docs/BASE_DE_CONHECIMENTO.md</w:t>
      </w:r>
      <w:r>
        <w:rPr>
          <w:rFonts w:ascii="Arial" w:hAnsi="Arial" w:cs="Arial"/>
          <w:sz w:val="24"/>
        </w:rPr>
        <w:t xml:space="preserve"> (Parte 3) e </w:t>
      </w:r>
      <w:r>
        <w:rPr>
          <w:rFonts w:ascii="Courier New" w:hAnsi="Courier New" w:cs="Courier New"/>
          <w:sz w:val="20"/>
        </w:rPr>
        <w:t>docs/VIABILIDADE_ECONOMICA.md</w:t>
      </w:r>
      <w:r>
        <w:rPr>
          <w:rFonts w:ascii="Arial" w:hAnsi="Arial" w:cs="Arial"/>
          <w:sz w:val="24"/>
        </w:rPr>
        <w:t>, para a equipe transpor ao quadro visual.</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80"/>
              <w:jc w:val="both"/>
            </w:pPr>
            <w:r/>
            <w:r>
              <w:rPr>
                <w:rFonts w:ascii="Arial" w:hAnsi="Arial" w:cs="Arial"/>
                <w:b/>
                <w:sz w:val="20"/>
              </w:rPr>
              <w:t>Bloco</w:t>
            </w:r>
          </w:p>
        </w:tc>
        <w:tc>
          <w:tcPr>
            <w:tcW w:type="dxa" w:w="4535"/>
          </w:tcPr>
          <w:p>
            <w:pPr>
              <w:spacing w:after="80"/>
              <w:jc w:val="both"/>
            </w:pPr>
            <w:r/>
            <w:r>
              <w:rPr>
                <w:rFonts w:ascii="Arial" w:hAnsi="Arial" w:cs="Arial"/>
                <w:b/>
                <w:sz w:val="20"/>
              </w:rPr>
              <w:t>Conteúdo sugerido</w:t>
            </w:r>
          </w:p>
        </w:tc>
      </w:tr>
      <w:tr>
        <w:tc>
          <w:tcPr>
            <w:tcW w:type="dxa" w:w="4535"/>
          </w:tcPr>
          <w:p>
            <w:pPr>
              <w:spacing w:after="80"/>
              <w:jc w:val="both"/>
            </w:pPr>
            <w:r/>
            <w:r>
              <w:rPr>
                <w:rFonts w:ascii="Arial" w:hAnsi="Arial" w:cs="Arial"/>
                <w:sz w:val="20"/>
              </w:rPr>
              <w:t>Proposta de valor</w:t>
            </w:r>
          </w:p>
        </w:tc>
        <w:tc>
          <w:tcPr>
            <w:tcW w:type="dxa" w:w="4535"/>
          </w:tcPr>
          <w:p>
            <w:pPr>
              <w:spacing w:after="80"/>
              <w:jc w:val="both"/>
            </w:pPr>
            <w:r/>
            <w:r>
              <w:rPr>
                <w:rFonts w:ascii="Arial" w:hAnsi="Arial" w:cs="Arial"/>
                <w:sz w:val="20"/>
              </w:rPr>
              <w:t>Monitoramento automatizado e alerta preventivo de nível d'água e poropressão a uma fração do custo da telemetria industrial (R$ 5.000 a R$ 20.000 por ponto), para estruturas hoje lidas manualmente, com preço de mercado próprio entre R$ 1.000 e R$ 3.500 por ponto instalado.</w:t>
            </w:r>
          </w:p>
        </w:tc>
      </w:tr>
      <w:tr>
        <w:tc>
          <w:tcPr>
            <w:tcW w:type="dxa" w:w="4535"/>
          </w:tcPr>
          <w:p>
            <w:pPr>
              <w:spacing w:after="80"/>
              <w:jc w:val="both"/>
            </w:pPr>
            <w:r/>
            <w:r>
              <w:rPr>
                <w:rFonts w:ascii="Arial" w:hAnsi="Arial" w:cs="Arial"/>
                <w:sz w:val="20"/>
              </w:rPr>
              <w:t>Segmentos de clientes</w:t>
            </w:r>
          </w:p>
        </w:tc>
        <w:tc>
          <w:tcPr>
            <w:tcW w:type="dxa" w:w="4535"/>
          </w:tcPr>
          <w:p>
            <w:pPr>
              <w:spacing w:after="80"/>
              <w:jc w:val="both"/>
            </w:pPr>
            <w:r/>
            <w:r>
              <w:rPr>
                <w:rFonts w:ascii="Arial" w:hAnsi="Arial" w:cs="Arial"/>
                <w:sz w:val="20"/>
              </w:rPr>
              <w:t>Em ordem de prioridade sugerida na base de conhecimento: primeiro, pequenas barragens de água e açudes (28.043 barragens cadastradas no SNISB, só 6.210 na PNSB); segundo, aterros sanitários (cerca de 700 no Brasil, cada um com 5 a 15 piezômetros de chorume, monitoramento já exigido como condicionante de licença ambiental); terceiro, encostas urbanas (defesa civil e prefeituras, 2.095 municípios em áreas de risco); e, como mercados adjacentes, obras civis de rebaixamento temporário de lençol freático, água subterrânea e agricultura, pilhas de estéril e taludes de cava.</w:t>
            </w:r>
          </w:p>
        </w:tc>
      </w:tr>
      <w:tr>
        <w:tc>
          <w:tcPr>
            <w:tcW w:type="dxa" w:w="4535"/>
          </w:tcPr>
          <w:p>
            <w:pPr>
              <w:spacing w:after="80"/>
              <w:jc w:val="both"/>
            </w:pPr>
            <w:r/>
            <w:r>
              <w:rPr>
                <w:rFonts w:ascii="Arial" w:hAnsi="Arial" w:cs="Arial"/>
                <w:sz w:val="20"/>
              </w:rPr>
              <w:t>Canais</w:t>
            </w:r>
          </w:p>
        </w:tc>
        <w:tc>
          <w:tcPr>
            <w:tcW w:type="dxa" w:w="4535"/>
          </w:tcPr>
          <w:p>
            <w:pPr>
              <w:spacing w:after="80"/>
              <w:jc w:val="both"/>
            </w:pPr>
            <w:r/>
            <w:r>
              <w:rPr>
                <w:rFonts w:ascii="Arial" w:hAnsi="Arial" w:cs="Arial"/>
                <w:sz w:val="20"/>
              </w:rPr>
              <w:t>Venda direta a operadores de barragens e municípios, parcerias com empresas de instrumentação geotécnica que hoje só atendem DPA alto, e editais públicos, como os desafios de inovação do tipo SAGA.</w:t>
            </w:r>
          </w:p>
        </w:tc>
      </w:tr>
      <w:tr>
        <w:tc>
          <w:tcPr>
            <w:tcW w:type="dxa" w:w="4535"/>
          </w:tcPr>
          <w:p>
            <w:pPr>
              <w:spacing w:after="80"/>
              <w:jc w:val="both"/>
            </w:pPr>
            <w:r/>
            <w:r>
              <w:rPr>
                <w:rFonts w:ascii="Arial" w:hAnsi="Arial" w:cs="Arial"/>
                <w:sz w:val="20"/>
              </w:rPr>
              <w:t>Relacionamento com clientes</w:t>
            </w:r>
          </w:p>
        </w:tc>
        <w:tc>
          <w:tcPr>
            <w:tcW w:type="dxa" w:w="4535"/>
          </w:tcPr>
          <w:p>
            <w:pPr>
              <w:spacing w:after="80"/>
              <w:jc w:val="both"/>
            </w:pPr>
            <w:r/>
            <w:r>
              <w:rPr>
                <w:rFonts w:ascii="Arial" w:hAnsi="Arial" w:cs="Arial"/>
                <w:sz w:val="20"/>
              </w:rPr>
              <w:t>Suporte à instalação e calibração, dashboard como ponto de contato contínuo, e alertas automáticos como demonstração recorrente de valor.</w:t>
            </w:r>
          </w:p>
        </w:tc>
      </w:tr>
      <w:tr>
        <w:tc>
          <w:tcPr>
            <w:tcW w:type="dxa" w:w="4535"/>
          </w:tcPr>
          <w:p>
            <w:pPr>
              <w:spacing w:after="80"/>
              <w:jc w:val="both"/>
            </w:pPr>
            <w:r/>
            <w:r>
              <w:rPr>
                <w:rFonts w:ascii="Arial" w:hAnsi="Arial" w:cs="Arial"/>
                <w:sz w:val="20"/>
              </w:rPr>
              <w:t>Fontes de receita</w:t>
            </w:r>
          </w:p>
        </w:tc>
        <w:tc>
          <w:tcPr>
            <w:tcW w:type="dxa" w:w="4535"/>
          </w:tcPr>
          <w:p>
            <w:pPr>
              <w:spacing w:after="80"/>
              <w:jc w:val="both"/>
            </w:pPr>
            <w:r/>
            <w:r>
              <w:rPr>
                <w:rFonts w:ascii="Arial" w:hAnsi="Arial" w:cs="Arial"/>
                <w:sz w:val="20"/>
              </w:rPr>
              <w:t>Venda ou comodato de hardware por ponto instalado (custo entre R$ 586 e R$ 1.179 em cenário de campo real, com margem), assinatura mensal de plataforma entre R$ 30 e R$ 80 por ponto, e serviço de instalação e calibração.</w:t>
            </w:r>
          </w:p>
        </w:tc>
      </w:tr>
      <w:tr>
        <w:tc>
          <w:tcPr>
            <w:tcW w:type="dxa" w:w="4535"/>
          </w:tcPr>
          <w:p>
            <w:pPr>
              <w:spacing w:after="80"/>
              <w:jc w:val="both"/>
            </w:pPr>
            <w:r/>
            <w:r>
              <w:rPr>
                <w:rFonts w:ascii="Arial" w:hAnsi="Arial" w:cs="Arial"/>
                <w:sz w:val="20"/>
              </w:rPr>
              <w:t>Recursos-chave</w:t>
            </w:r>
          </w:p>
        </w:tc>
        <w:tc>
          <w:tcPr>
            <w:tcW w:type="dxa" w:w="4535"/>
          </w:tcPr>
          <w:p>
            <w:pPr>
              <w:spacing w:after="80"/>
              <w:jc w:val="both"/>
            </w:pPr>
            <w:r/>
            <w:r>
              <w:rPr>
                <w:rFonts w:ascii="Arial" w:hAnsi="Arial" w:cs="Arial"/>
                <w:sz w:val="20"/>
              </w:rPr>
              <w:t>Firmware com contrato de adapter de sensor, backend Cloudflare (Worker, D1 e KV), e conhecimento de instrumentação geotécnica e da regulação (ANM 95/2022, Lei 14.066/2020).</w:t>
            </w:r>
          </w:p>
        </w:tc>
      </w:tr>
      <w:tr>
        <w:tc>
          <w:tcPr>
            <w:tcW w:type="dxa" w:w="4535"/>
          </w:tcPr>
          <w:p>
            <w:pPr>
              <w:spacing w:after="80"/>
              <w:jc w:val="both"/>
            </w:pPr>
            <w:r/>
            <w:r>
              <w:rPr>
                <w:rFonts w:ascii="Arial" w:hAnsi="Arial" w:cs="Arial"/>
                <w:sz w:val="20"/>
              </w:rPr>
              <w:t>Atividades-chave</w:t>
            </w:r>
          </w:p>
        </w:tc>
        <w:tc>
          <w:tcPr>
            <w:tcW w:type="dxa" w:w="4535"/>
          </w:tcPr>
          <w:p>
            <w:pPr>
              <w:spacing w:after="80"/>
              <w:jc w:val="both"/>
            </w:pPr>
            <w:r/>
            <w:r>
              <w:rPr>
                <w:rFonts w:ascii="Arial" w:hAnsi="Arial" w:cs="Arial"/>
                <w:sz w:val="20"/>
              </w:rPr>
              <w:t>Desenvolvimento e manutenção do firmware, backend e dashboard, validação de sensores, e suporte a instalação em campo.</w:t>
            </w:r>
          </w:p>
        </w:tc>
      </w:tr>
      <w:tr>
        <w:tc>
          <w:tcPr>
            <w:tcW w:type="dxa" w:w="4535"/>
          </w:tcPr>
          <w:p>
            <w:pPr>
              <w:spacing w:after="80"/>
              <w:jc w:val="both"/>
            </w:pPr>
            <w:r/>
            <w:r>
              <w:rPr>
                <w:rFonts w:ascii="Arial" w:hAnsi="Arial" w:cs="Arial"/>
                <w:sz w:val="20"/>
              </w:rPr>
              <w:t>Parcerias-chave</w:t>
            </w:r>
          </w:p>
        </w:tc>
        <w:tc>
          <w:tcPr>
            <w:tcW w:type="dxa" w:w="4535"/>
          </w:tcPr>
          <w:p>
            <w:pPr>
              <w:spacing w:after="80"/>
              <w:jc w:val="both"/>
            </w:pPr>
            <w:r/>
            <w:r>
              <w:rPr>
                <w:rFonts w:ascii="Arial" w:hAnsi="Arial" w:cs="Arial"/>
                <w:sz w:val="20"/>
              </w:rPr>
              <w:t>Fabricantes e fornecedores de sensores (transdutores de pressão, corda vibrante), integradores de instrumentação geotécnica, municípios e órgãos de defesa civil, e operadores de aterros sanitários.</w:t>
            </w:r>
          </w:p>
        </w:tc>
      </w:tr>
      <w:tr>
        <w:tc>
          <w:tcPr>
            <w:tcW w:type="dxa" w:w="4535"/>
          </w:tcPr>
          <w:p>
            <w:pPr>
              <w:spacing w:after="80"/>
              <w:jc w:val="both"/>
            </w:pPr>
            <w:r/>
            <w:r>
              <w:rPr>
                <w:rFonts w:ascii="Arial" w:hAnsi="Arial" w:cs="Arial"/>
                <w:sz w:val="20"/>
              </w:rPr>
              <w:t>Estrutura de custos</w:t>
            </w:r>
          </w:p>
        </w:tc>
        <w:tc>
          <w:tcPr>
            <w:tcW w:type="dxa" w:w="4535"/>
          </w:tcPr>
          <w:p>
            <w:pPr>
              <w:spacing w:after="80"/>
              <w:jc w:val="both"/>
            </w:pPr>
            <w:r/>
            <w:r>
              <w:rPr>
                <w:rFonts w:ascii="Arial" w:hAnsi="Arial" w:cs="Arial"/>
                <w:sz w:val="20"/>
              </w:rPr>
              <w:t>Hardware por ponto (custo único), operação em nuvem (free tier até certa escala, depois plano pago a partir de US$ 5 por mês), e eventual manutenção ou substituição de sensores em campo.</w:t>
            </w:r>
          </w:p>
        </w:tc>
      </w:tr>
    </w:tbl>
    <w:p>
      <w:pPr>
        <w:spacing w:after="120"/>
      </w:pPr>
    </w:p>
    <w:p>
      <w:pPr>
        <w:spacing w:lineRule="auto" w:line="360" w:after="120" w:before="120"/>
        <w:ind w:firstLine="0"/>
        <w:jc w:val="left"/>
      </w:pPr>
      <w:r>
        <w:rPr>
          <w:rFonts w:ascii="Arial" w:hAnsi="Arial" w:cs="Arial"/>
          <w:b/>
          <w:sz w:val="24"/>
        </w:rPr>
        <w:t>1.4.2 Situação de aprendizagem</w:t>
      </w:r>
    </w:p>
    <w:p>
      <w:pPr>
        <w:spacing w:lineRule="auto" w:line="360" w:after="120" w:before="0"/>
        <w:ind w:firstLine="709"/>
        <w:jc w:val="both"/>
      </w:pPr>
      <w:r>
        <w:rPr>
          <w:rFonts w:ascii="Arial" w:hAnsi="Arial" w:cs="Arial"/>
          <w:b/>
          <w:color w:val="C00000"/>
          <w:sz w:val="24"/>
        </w:rPr>
        <w:t>[PREENCHER conforme orientação do instrutor]</w:t>
      </w:r>
    </w:p>
    <w:p>
      <w:pPr>
        <w:spacing w:lineRule="auto" w:line="360" w:after="120" w:before="0"/>
        <w:ind w:firstLine="709"/>
        <w:jc w:val="both"/>
      </w:pPr>
      <w:r>
        <w:rPr>
          <w:rFonts w:ascii="Arial" w:hAnsi="Arial" w:cs="Arial"/>
          <w:sz w:val="24"/>
        </w:rPr>
        <w:t>Costumam compor esta seção as competências mobilizadas ao longo do projeto (desenvolvimento de firmware embarcado em C++/Arduino, integração com APIs em nuvem via Cloudflare Workers, D1 e KV, desenvolvimento web front-end em HTML, CSS e JavaScript sem bundler, noções de instrumentação geotécnica e segurança de barragens, e trabalho em equipe com versionamento de código em git), o cronograma do projeto e o papel individual de cada aluno, coerente com a tabela da equipe na seção 1.1.</w:t>
      </w:r>
    </w:p>
    <w:p>
      <w:pPr>
        <w:spacing w:lineRule="auto" w:line="360" w:after="120" w:before="0"/>
        <w:ind w:firstLine="709"/>
        <w:jc w:val="both"/>
      </w:pPr>
      <w:r>
        <w:rPr>
          <w:rFonts w:ascii="Arial" w:hAnsi="Arial" w:cs="Arial"/>
          <w:b/>
          <w:color w:val="C00000"/>
          <w:sz w:val="24"/>
        </w:rPr>
        <w:t>[PREENCHER: marcos do projeto, como pesquisa inicial, prototipagem no Wokwi, montagem da maquete física, desenvolvimento do backend e do dashboard, validação do sensor, redação do TCC e ensaios para a banca]</w:t>
      </w:r>
      <w:r>
        <w:rPr>
          <w:rFonts w:ascii="Arial" w:hAnsi="Arial" w:cs="Arial"/>
          <w:sz w:val="24"/>
        </w:rPr>
        <w:t>.</w:t>
      </w:r>
    </w:p>
    <w:p>
      <w:pPr>
        <w:spacing w:lineRule="auto" w:line="360" w:after="120" w:before="0"/>
        <w:ind w:firstLine="709"/>
        <w:jc w:val="both"/>
      </w:pPr>
      <w:r>
        <w:rPr>
          <w:rFonts w:ascii="Arial" w:hAnsi="Arial" w:cs="Arial"/>
          <w:b/>
          <w:color w:val="C00000"/>
          <w:sz w:val="24"/>
        </w:rPr>
        <w:t>[PREENCHER: papel de cada aluno, detalhado por nome, coerente com a tabela da seção 1.1, por exemplo firmware, backend, dashboard, documentação ou pesquisa]</w:t>
      </w:r>
      <w:r>
        <w:rPr>
          <w:rFonts w:ascii="Arial" w:hAnsi="Arial" w:cs="Arial"/>
          <w:sz w:val="24"/>
        </w:rPr>
        <w:t>.</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