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sz w:val="24"/>
        </w:rPr>
        <w:t>Belo Horizonte HORTO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#[PREENCHER: código da unidade]# 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Belo Horizonte HORTO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 TÍTULO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Orçamento Estimado (BOM)</w:t>
      </w:r>
    </w:p>
    <w:p>
      <w:pPr>
        <w:spacing w:lineRule="auto" w:line="360" w:after="80"/>
        <w:ind w:firstLine="0"/>
        <w:jc w:val="left"/>
      </w:pPr>
      <w:r>
        <w:rPr>
          <w:rFonts w:ascii="Arial" w:hAnsi="Arial" w:cs="Arial"/>
          <w:sz w:val="24"/>
        </w:rPr>
        <w:t>1.4.2 BMG Canvas</w:t>
      </w:r>
    </w:p>
    <w:p>
      <w:pPr>
        <w:spacing w:lineRule="auto" w:line="360" w:after="80"/>
        <w:ind w:firstLine="0"/>
        <w:jc w:val="left"/>
      </w:pPr>
      <w:r>
        <w:rPr>
          <w:rFonts w:ascii="Arial" w:hAnsi="Arial" w:cs="Arial"/>
          <w:sz w:val="24"/>
        </w:rPr>
        <w:t>1.4.3 Situação de Aprendizagem</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#[PREENCHER: CÓDIGO DA UNIDADE]# AQUASENSE: SISTEMA DE TELEMETRIA E MONITORAMENTO GEOTÉCNICO REMOTO E CONTÍNUO PARA PIEZÔMETROS VIA IOT</w:t>
      </w:r>
    </w:p>
    <w:p>
      <w:pPr>
        <w:spacing w:lineRule="auto" w:line="360" w:after="120" w:before="240"/>
        <w:ind w:firstLine="0"/>
        <w:jc w:val="left"/>
      </w:pPr>
      <w:r>
        <w:rPr>
          <w:rFonts w:ascii="Arial" w:hAnsi="Arial" w:cs="Arial"/>
          <w:b/>
          <w:sz w:val="24"/>
        </w:rPr>
        <w:t>1.1 EQUIPE</w:t>
      </w:r>
    </w:p>
    <w:p>
      <w:pPr>
        <w:spacing w:lineRule="auto" w:line="360" w:after="120" w:before="0"/>
        <w:ind w:firstLine="709"/>
        <w:jc w:val="both"/>
      </w:pPr>
      <w:r>
        <w:rPr>
          <w:rFonts w:ascii="Arial" w:hAnsi="Arial" w:cs="Arial"/>
          <w:sz w:val="24"/>
        </w:rPr>
        <w:t>Unidade SENAI: Belo Horizonte HORTO</w:t>
      </w:r>
    </w:p>
    <w:p>
      <w:pPr>
        <w:spacing w:lineRule="auto" w:line="360" w:after="120" w:before="0"/>
        <w:ind w:firstLine="709"/>
        <w:jc w:val="both"/>
      </w:pPr>
      <w:r>
        <w:rPr>
          <w:rFonts w:ascii="Arial" w:hAnsi="Arial" w:cs="Arial"/>
          <w:sz w:val="24"/>
        </w:rPr>
        <w:t xml:space="preserve">Instrutor orientador: </w:t>
      </w:r>
      <w:r>
        <w:rPr>
          <w:rFonts w:ascii="Arial" w:hAnsi="Arial" w:cs="Arial"/>
          <w:b/>
          <w:color w:val="C00000"/>
          <w:sz w:val="24"/>
        </w:rPr>
        <w:t>[PREENCHER: instrutor orientador]</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ALUNO</w:t>
            </w:r>
          </w:p>
        </w:tc>
        <w:tc>
          <w:tcPr>
            <w:tcW w:type="dxa" w:w="3024"/>
          </w:tcPr>
          <w:p>
            <w:pPr>
              <w:spacing w:after="80"/>
              <w:jc w:val="both"/>
            </w:pPr>
            <w:r/>
            <w:r>
              <w:rPr>
                <w:rFonts w:ascii="Arial" w:hAnsi="Arial" w:cs="Arial"/>
                <w:b/>
                <w:sz w:val="20"/>
              </w:rPr>
              <w:t>CURSO</w:t>
            </w:r>
          </w:p>
        </w:tc>
        <w:tc>
          <w:tcPr>
            <w:tcW w:type="dxa" w:w="3024"/>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sz w:val="20"/>
              </w:rPr>
              <w:t>Gustavo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Programação do firmware em C/C++ para o microcontrolador ESP32, implementação do mecanismo de store &amp; forward com carimbo de tempo, controle do modo deep sleep e integração com o backend em nuvem.</w:t>
            </w:r>
          </w:p>
        </w:tc>
      </w:tr>
      <w:tr>
        <w:tc>
          <w:tcPr>
            <w:tcW w:type="dxa" w:w="3024"/>
          </w:tcPr>
          <w:p>
            <w:pPr>
              <w:spacing w:after="80"/>
              <w:jc w:val="both"/>
            </w:pPr>
            <w:r/>
            <w:r>
              <w:rPr>
                <w:rFonts w:ascii="Arial" w:hAnsi="Arial" w:cs="Arial"/>
                <w:sz w:val="20"/>
              </w:rPr>
              <w:t>Marcelo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Projeto e dimensionamento do circuito de alimentação autônoma (painel solar, controlador de carga e bateria selada de 12 V 18 Ah) e calibração do sinal de corrente de 4 a 20 mA.</w:t>
            </w:r>
          </w:p>
        </w:tc>
      </w:tr>
      <w:tr>
        <w:tc>
          <w:tcPr>
            <w:tcW w:type="dxa" w:w="3024"/>
          </w:tcPr>
          <w:p>
            <w:pPr>
              <w:spacing w:after="80"/>
              <w:jc w:val="both"/>
            </w:pPr>
            <w:r/>
            <w:r>
              <w:rPr>
                <w:rFonts w:ascii="Arial" w:hAnsi="Arial" w:cs="Arial"/>
                <w:sz w:val="20"/>
              </w:rPr>
              <w:t>Matheus</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Construção e dimensionamento da bancada física de simulação hidráulica vertical em PVC para testes experimentais e desenvolvimento do gabinete de proteção IP66.</w:t>
            </w:r>
          </w:p>
        </w:tc>
      </w:tr>
      <w:tr>
        <w:tc>
          <w:tcPr>
            <w:tcW w:type="dxa" w:w="3024"/>
          </w:tcPr>
          <w:p>
            <w:pPr>
              <w:spacing w:after="80"/>
              <w:jc w:val="both"/>
            </w:pPr>
            <w:r/>
            <w:r>
              <w:rPr>
                <w:rFonts w:ascii="Arial" w:hAnsi="Arial" w:cs="Arial"/>
                <w:sz w:val="20"/>
              </w:rPr>
              <w:t>Isadora</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Modelagem 3D do gabinete e dos suportes dos sensores, redação da documentação técnica oficial do projeto, cotação comercial de componentes e elaboração do orçamento de hardware (BOM).</w:t>
            </w:r>
          </w:p>
        </w:tc>
      </w:tr>
    </w:tbl>
    <w:p>
      <w:pPr>
        <w:spacing w:after="120"/>
      </w:pP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lineRule="auto" w:line="360" w:after="120" w:before="0"/>
        <w:ind w:firstLine="709"/>
        <w:jc w:val="both"/>
      </w:pPr>
      <w:r>
        <w:rPr>
          <w:rFonts w:ascii="Arial" w:hAnsi="Arial" w:cs="Arial"/>
          <w:sz w:val="24"/>
        </w:rP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lineRule="auto" w:line="360" w:after="120" w:before="0"/>
        <w:ind w:firstLine="709"/>
        <w:jc w:val="both"/>
      </w:pPr>
      <w:r>
        <w:rPr>
          <w:rFonts w:ascii="Arial" w:hAnsi="Arial" w:cs="Arial"/>
          <w:sz w:val="24"/>
        </w:rP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lineRule="auto" w:line="360" w:after="120" w:before="0"/>
        <w:ind w:firstLine="709"/>
        <w:jc w:val="both"/>
      </w:pPr>
      <w:r>
        <w:rPr>
          <w:rFonts w:ascii="Arial" w:hAnsi="Arial" w:cs="Arial"/>
          <w:sz w:val="24"/>
        </w:rP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lineRule="auto" w:line="360" w:after="120" w:before="0"/>
        <w:ind w:firstLine="709"/>
        <w:jc w:val="both"/>
      </w:pPr>
      <w:r>
        <w:rPr>
          <w:rFonts w:ascii="Arial" w:hAnsi="Arial" w:cs="Arial"/>
          <w:sz w:val="24"/>
        </w:rP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pPr>
        <w:spacing w:lineRule="auto" w:line="360" w:after="120" w:before="240"/>
        <w:ind w:firstLine="0"/>
        <w:jc w:val="left"/>
      </w:pPr>
      <w:r>
        <w:rPr>
          <w:rFonts w:ascii="Arial" w:hAnsi="Arial" w:cs="Arial"/>
          <w:b/>
          <w:sz w:val="24"/>
        </w:rPr>
        <w:t>1.3 SOLUÇÃO</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lineRule="auto" w:line="360" w:after="120" w:before="0"/>
        <w:ind w:firstLine="709"/>
        <w:jc w:val="both"/>
      </w:pPr>
      <w:r>
        <w:rPr>
          <w:rFonts w:ascii="Arial" w:hAnsi="Arial" w:cs="Arial"/>
          <w:sz w:val="24"/>
        </w:rP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lineRule="auto" w:line="360" w:after="120" w:before="0"/>
        <w:ind w:firstLine="709"/>
        <w:jc w:val="both"/>
      </w:pPr>
      <w:r>
        <w:rPr>
          <w:rFonts w:ascii="Arial" w:hAnsi="Arial" w:cs="Arial"/>
          <w:sz w:val="24"/>
        </w:rP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Objetivo Geral: Desenvolver, integrar e homologar uma Unidade de Controle e Telemetria de baixo consumo para o monitoramento contínuo e remoto de piezômetros industriais, com processamento em nuvem, dashboard interativo e alertas preventivos em dupla via.</w:t>
      </w:r>
    </w:p>
    <w:p>
      <w:pPr>
        <w:spacing w:lineRule="auto" w:line="360" w:after="120" w:before="0"/>
        <w:ind w:firstLine="709"/>
        <w:jc w:val="both"/>
      </w:pPr>
      <w:r>
        <w:rPr>
          <w:rFonts w:ascii="Arial" w:hAnsi="Arial" w:cs="Arial"/>
          <w:sz w:val="24"/>
        </w:rPr>
        <w:t>Objetivos Específicos:</w:t>
      </w:r>
    </w:p>
    <w:p>
      <w:pPr>
        <w:spacing w:lineRule="auto" w:line="360" w:after="80" w:before="0"/>
        <w:ind w:left="709" w:firstLine="0"/>
        <w:jc w:val="both"/>
      </w:pPr>
      <w:r>
        <w:rPr>
          <w:rFonts w:ascii="Arial" w:hAnsi="Arial" w:cs="Arial"/>
          <w:sz w:val="24"/>
        </w:rPr>
        <w:t xml:space="preserve">•  </w:t>
      </w:r>
      <w:r>
        <w:rPr>
          <w:rFonts w:ascii="Arial" w:hAnsi="Arial" w:cs="Arial"/>
          <w:sz w:val="24"/>
        </w:rPr>
        <w:t>Programar o firmware do microcontrolador ESP32 responsável pela leitura do sensor, pelo mecanismo de store &amp; forward com carimbo de tempo e pelo envio periódico dos dados para a nuvem.</w:t>
      </w:r>
    </w:p>
    <w:p>
      <w:pPr>
        <w:spacing w:lineRule="auto" w:line="360" w:after="80" w:before="0"/>
        <w:ind w:left="709" w:firstLine="0"/>
        <w:jc w:val="both"/>
      </w:pPr>
      <w:r>
        <w:rPr>
          <w:rFonts w:ascii="Arial" w:hAnsi="Arial" w:cs="Arial"/>
          <w:sz w:val="24"/>
        </w:rPr>
        <w:t xml:space="preserve">•  </w:t>
      </w:r>
      <w:r>
        <w:rPr>
          <w:rFonts w:ascii="Arial" w:hAnsi="Arial" w:cs="Arial"/>
          <w:sz w:val="24"/>
        </w:rPr>
        <w:t>Desenvolver o backend em plataforma de computação em nuvem serverless, responsável pela ingestão, pelo armazenamento em banco de dados gerenciado e pela execução do motor de alertas por gatilho de tempo a cada minuto.</w:t>
      </w:r>
    </w:p>
    <w:p>
      <w:pPr>
        <w:spacing w:lineRule="auto" w:line="360" w:after="80" w:before="0"/>
        <w:ind w:left="709" w:firstLine="0"/>
        <w:jc w:val="both"/>
      </w:pPr>
      <w:r>
        <w:rPr>
          <w:rFonts w:ascii="Arial" w:hAnsi="Arial" w:cs="Arial"/>
          <w:sz w:val="24"/>
        </w:rPr>
        <w:t xml:space="preserve">•  </w:t>
      </w:r>
      <w:r>
        <w:rPr>
          <w:rFonts w:ascii="Arial" w:hAnsi="Arial" w:cs="Arial"/>
          <w:sz w:val="24"/>
        </w:rPr>
        <w:t>Construir um dashboard web interativo capaz de exibir a leitura atual, o histórico em série temporal e os eventos de alerta de cada instrumento monitorado.</w:t>
      </w:r>
    </w:p>
    <w:p>
      <w:pPr>
        <w:spacing w:lineRule="auto" w:line="360" w:after="80" w:before="0"/>
        <w:ind w:left="709" w:firstLine="0"/>
        <w:jc w:val="both"/>
      </w:pPr>
      <w:r>
        <w:rPr>
          <w:rFonts w:ascii="Arial" w:hAnsi="Arial" w:cs="Arial"/>
          <w:sz w:val="24"/>
        </w:rPr>
        <w:t xml:space="preserve">•  </w:t>
      </w:r>
      <w:r>
        <w:rPr>
          <w:rFonts w:ascii="Arial" w:hAnsi="Arial" w:cs="Arial"/>
          <w:sz w:val="24"/>
        </w:rPr>
        <w:t>Implementar o sistema de alertas preventivos em dupla via, por Telegram e por SMS, disparado nas transições de faixa de nível e repetido enquanto persistir a condição crítica.</w:t>
      </w:r>
    </w:p>
    <w:p>
      <w:pPr>
        <w:spacing w:lineRule="auto" w:line="360" w:after="80" w:before="0"/>
        <w:ind w:left="709" w:firstLine="0"/>
        <w:jc w:val="both"/>
      </w:pPr>
      <w:r>
        <w:rPr>
          <w:rFonts w:ascii="Arial" w:hAnsi="Arial" w:cs="Arial"/>
          <w:sz w:val="24"/>
        </w:rPr>
        <w:t xml:space="preserve">•  </w:t>
      </w:r>
      <w:r>
        <w:rPr>
          <w:rFonts w:ascii="Arial" w:hAnsi="Arial" w:cs="Arial"/>
          <w:sz w:val="24"/>
        </w:rPr>
        <w:t>Projetar a Unidade de Controle e Telemetria industrial, incluindo o transdutor piezorresistivo submersível de 4 a 20 mA, o conversor analógico digital de 16 bits e o módulo de comunicação celular 4G.</w:t>
      </w:r>
    </w:p>
    <w:p>
      <w:pPr>
        <w:spacing w:lineRule="auto" w:line="360" w:after="80" w:before="0"/>
        <w:ind w:left="709" w:firstLine="0"/>
        <w:jc w:val="both"/>
      </w:pPr>
      <w:r>
        <w:rPr>
          <w:rFonts w:ascii="Arial" w:hAnsi="Arial" w:cs="Arial"/>
          <w:sz w:val="24"/>
        </w:rPr>
        <w:t xml:space="preserve">•  </w:t>
      </w:r>
      <w:r>
        <w:rPr>
          <w:rFonts w:ascii="Arial" w:hAnsi="Arial" w:cs="Arial"/>
          <w:sz w:val="24"/>
        </w:rPr>
        <w:t>Dimensionar o sistema de alimentação autônoma da unidade de campo, composto por painel solar, controlador de carga e bateria selada, garantindo autonomia energética prolongada.</w:t>
      </w:r>
    </w:p>
    <w:p>
      <w:pPr>
        <w:spacing w:lineRule="auto" w:line="360" w:after="80" w:before="0"/>
        <w:ind w:left="709" w:firstLine="0"/>
        <w:jc w:val="both"/>
      </w:pPr>
      <w:r>
        <w:rPr>
          <w:rFonts w:ascii="Arial" w:hAnsi="Arial" w:cs="Arial"/>
          <w:sz w:val="24"/>
        </w:rPr>
        <w:t xml:space="preserve">•  </w:t>
      </w:r>
      <w:r>
        <w:rPr>
          <w:rFonts w:ascii="Arial" w:hAnsi="Arial" w:cs="Arial"/>
          <w:sz w:val="24"/>
        </w:rPr>
        <w:t>Especificar o invólucro de campo com grau de proteção IP66, prensa cabos e proteção contra surtos, adequado à exposição ambiental de instalações geotécnicas.</w:t>
      </w:r>
    </w:p>
    <w:p>
      <w:pPr>
        <w:spacing w:lineRule="auto" w:line="360" w:after="80" w:before="0"/>
        <w:ind w:left="709" w:firstLine="0"/>
        <w:jc w:val="both"/>
      </w:pPr>
      <w:r>
        <w:rPr>
          <w:rFonts w:ascii="Arial" w:hAnsi="Arial" w:cs="Arial"/>
          <w:sz w:val="24"/>
        </w:rPr>
        <w:t xml:space="preserve">•  </w:t>
      </w:r>
      <w:r>
        <w:rPr>
          <w:rFonts w:ascii="Arial" w:hAnsi="Arial" w:cs="Arial"/>
          <w:sz w:val="24"/>
        </w:rPr>
        <w:t>Construir e homologar a bancada vertical de PVC destinada a simular fisicamente as variações do nível de água de um piezômetro, validando a integração entre sensor, eletrônica e software.</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sz w:val="24"/>
        </w:rP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lineRule="auto" w:line="360" w:after="120" w:before="0"/>
        <w:ind w:firstLine="709"/>
        <w:jc w:val="both"/>
      </w:pPr>
      <w:r>
        <w:rPr>
          <w:rFonts w:ascii="Arial" w:hAnsi="Arial" w:cs="Arial"/>
          <w:sz w:val="24"/>
        </w:rP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lineRule="auto" w:line="360" w:after="120" w:before="0"/>
        <w:ind w:firstLine="709"/>
        <w:jc w:val="both"/>
      </w:pPr>
      <w:r>
        <w:rPr>
          <w:rFonts w:ascii="Arial" w:hAnsi="Arial" w:cs="Arial"/>
          <w:sz w:val="24"/>
        </w:rPr>
        <w:t>Na Fase II, de prototipagem e testes modulares, correspondente ao segundo bimestre, Isadora conduziu a cotação e aquisição dos componentes eletrônicos, incluindo o conversor analógico digital e o resistor de shunt de precisão. Marcelo montou o circuito de alimentação fotovoltaica, compreendendo painel solar, controlador de carga e bateria selada. Gustavo desenvolveu a primeira versão do firmware, responsável pela leitura da porta analógica via barramento I2C e pela conexão de rede do microcontrolador. Em paralelo, Matheus montou fisicamente a tubulação de PVC de dois metros que compõem a bancada de ensaios.</w:t>
      </w:r>
    </w:p>
    <w:p>
      <w:pPr>
        <w:spacing w:lineRule="auto" w:line="360" w:after="120" w:before="0"/>
        <w:ind w:firstLine="709"/>
        <w:jc w:val="both"/>
      </w:pPr>
      <w:r>
        <w:rPr>
          <w:rFonts w:ascii="Arial" w:hAnsi="Arial" w:cs="Arial"/>
          <w:sz w:val="24"/>
        </w:rPr>
        <w:t>Na Fase III, de integração e calibração, correspondente ao terceiro bimestre, a equipe conectou o transdutor à bancada vertical e realizou a calibração da leitura de tensão do conversor analógico digital, correlacionando a tensão medida sobre o resistor de shunt de precisão de 150 ohms ao nível físico da coluna de água no poço simulado, por meio de dois pontos de referência conhecidos. Em paralelo,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w:t>
      </w:r>
    </w:p>
    <w:p>
      <w:pPr>
        <w:spacing w:lineRule="auto" w:line="360" w:after="120" w:before="0"/>
        <w:ind w:firstLine="709"/>
        <w:jc w:val="both"/>
      </w:pPr>
      <w:r>
        <w:rPr>
          <w:rFonts w:ascii="Arial" w:hAnsi="Arial" w:cs="Arial"/>
          <w:sz w:val="24"/>
        </w:rPr>
        <w:t>Na Fase IV, de homologação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Em paralelo, a equipe avançou na especificação do gabinete industrial com grau de proteção IP66 e prensa cabos, e teve início o processo de montagem física e homologação da Unidade de Controle e Telemetria na bancada vertical, etapa que segue em andamento.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A solução desenvolvida se apoia em padrões consolidados da instrumentação industrial. O uso do loop de corrente de 4 a 20 mA no transdutor garante imunidade a ruído eletromagnético mesmo em cabos longos dentro do poço, característica essencial em ambientes de campo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lineRule="auto" w:line="360" w:after="120" w:before="0"/>
        <w:ind w:firstLine="709"/>
        <w:jc w:val="both"/>
      </w:pPr>
      <w:r>
        <w:rPr>
          <w:rFonts w:ascii="Arial" w:hAnsi="Arial" w:cs="Arial"/>
          <w:sz w:val="24"/>
        </w:rP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lineRule="auto" w:line="360" w:after="120" w:before="0"/>
        <w:ind w:firstLine="709"/>
        <w:jc w:val="both"/>
      </w:pPr>
      <w:r>
        <w:rPr>
          <w:rFonts w:ascii="Arial" w:hAnsi="Arial" w:cs="Arial"/>
          <w:sz w:val="24"/>
        </w:rP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lineRule="auto" w:line="360" w:after="120" w:before="0"/>
        <w:ind w:firstLine="709"/>
        <w:jc w:val="both"/>
      </w:pPr>
      <w:r>
        <w:rPr>
          <w:rFonts w:ascii="Arial" w:hAnsi="Arial" w:cs="Arial"/>
          <w:b/>
          <w:sz w:val="24"/>
        </w:rPr>
        <w:t>Como levantamos os custos</w:t>
      </w:r>
    </w:p>
    <w:p>
      <w:pPr>
        <w:spacing w:lineRule="auto" w:line="360" w:after="120" w:before="0"/>
        <w:ind w:firstLine="709"/>
        <w:jc w:val="both"/>
      </w:pPr>
      <w:r>
        <w:rPr>
          <w:rFonts w:ascii="Arial" w:hAnsi="Arial" w:cs="Arial"/>
          <w:sz w:val="24"/>
        </w:rPr>
        <w:t>Nenhum dos quatro integrantes da equipe tem formação em finanças, então tratamos este levantamento como uma pesquisa de campo: em vez de estimar os preços de memória, buscamos cada componente do sistema em lojas nacionais de eletrônica e em marketplaces, registrando o valor, a loja e a data da consulta (julho de 2026). O transdutor de pressão submersível, peça central do sistema, foi encontrado por R$ 239 na versão genérica de uso industrial; o módulo de comunicação celular 4G, por R$ 580 a R$ 760 dependendo do vendedor; o conjunto de energia solar, com painel, controlador de carga e bateria, por cerca de R$ 389; e o valor de hora de um técnico de campo para instalação, pesquisado em tabelas do setor elétrico, ficou entre R$ 150 e R$ 250. Essa pesquisa de varejo, feita componente por componente, somou R$ 1.804 por unidade, valor que serve de piso de referência: ele cobre a compra avulsa de cada peça, mas não inclui fabricação de placa própria, cabo industrial, conectores de painel nem frete e variação cambial de itens importados, custos que só aparecem quando o sistema é fabricado em série e não montado peça a peça no balcão da loja.</w:t>
      </w:r>
    </w:p>
    <w:p>
      <w:pPr>
        <w:spacing w:lineRule="auto" w:line="360" w:after="120" w:before="0"/>
        <w:ind w:firstLine="709"/>
        <w:jc w:val="both"/>
      </w:pPr>
      <w:r>
        <w:rPr>
          <w:rFonts w:ascii="Arial" w:hAnsi="Arial" w:cs="Arial"/>
          <w:b/>
          <w:sz w:val="24"/>
        </w:rPr>
        <w:t>Quanto custa o AquaSense</w:t>
      </w:r>
    </w:p>
    <w:p>
      <w:pPr>
        <w:spacing w:lineRule="auto" w:line="360" w:after="120" w:before="0"/>
        <w:ind w:firstLine="709"/>
        <w:jc w:val="both"/>
      </w:pPr>
      <w:r>
        <w:rPr>
          <w:rFonts w:ascii="Arial" w:hAnsi="Arial" w:cs="Arial"/>
          <w:sz w:val="24"/>
        </w:rP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Item do investimento</w:t>
            </w:r>
          </w:p>
        </w:tc>
        <w:tc>
          <w:tcPr>
            <w:tcW w:type="dxa" w:w="3024"/>
          </w:tcPr>
          <w:p>
            <w:pPr>
              <w:spacing w:after="80"/>
              <w:jc w:val="both"/>
            </w:pPr>
            <w:r/>
            <w:r>
              <w:rPr>
                <w:rFonts w:ascii="Arial" w:hAnsi="Arial" w:cs="Arial"/>
                <w:b/>
                <w:sz w:val="20"/>
              </w:rPr>
              <w:t>Como foi calculado</w:t>
            </w:r>
          </w:p>
        </w:tc>
        <w:tc>
          <w:tcPr>
            <w:tcW w:type="dxa" w:w="3024"/>
          </w:tcPr>
          <w:p>
            <w:pPr>
              <w:spacing w:after="80"/>
              <w:jc w:val="both"/>
            </w:pPr>
            <w:r/>
            <w:r>
              <w:rPr>
                <w:rFonts w:ascii="Arial" w:hAnsi="Arial" w:cs="Arial"/>
                <w:b/>
                <w:sz w:val="20"/>
              </w:rPr>
              <w:t>Valor (R$)</w:t>
            </w:r>
          </w:p>
        </w:tc>
      </w:tr>
      <w:tr>
        <w:tc>
          <w:tcPr>
            <w:tcW w:type="dxa" w:w="3024"/>
          </w:tcPr>
          <w:p>
            <w:pPr>
              <w:spacing w:after="80"/>
              <w:jc w:val="both"/>
            </w:pPr>
            <w:r/>
            <w:r>
              <w:rPr>
                <w:rFonts w:ascii="Arial" w:hAnsi="Arial" w:cs="Arial"/>
                <w:sz w:val="20"/>
              </w:rPr>
              <w:t>Hardware (50 unidades)</w:t>
            </w:r>
          </w:p>
        </w:tc>
        <w:tc>
          <w:tcPr>
            <w:tcW w:type="dxa" w:w="3024"/>
          </w:tcPr>
          <w:p>
            <w:pPr>
              <w:spacing w:after="80"/>
              <w:jc w:val="both"/>
            </w:pPr>
            <w:r/>
            <w:r>
              <w:rPr>
                <w:rFonts w:ascii="Arial" w:hAnsi="Arial" w:cs="Arial"/>
                <w:sz w:val="20"/>
              </w:rPr>
              <w:t>50 × R$ 2.965 por unidade</w:t>
            </w:r>
          </w:p>
        </w:tc>
        <w:tc>
          <w:tcPr>
            <w:tcW w:type="dxa" w:w="3024"/>
          </w:tcPr>
          <w:p>
            <w:pPr>
              <w:spacing w:after="80"/>
              <w:jc w:val="both"/>
            </w:pPr>
            <w:r/>
            <w:r>
              <w:rPr>
                <w:rFonts w:ascii="Arial" w:hAnsi="Arial" w:cs="Arial"/>
                <w:sz w:val="20"/>
              </w:rPr>
              <w:t>148.250</w:t>
            </w:r>
          </w:p>
        </w:tc>
      </w:tr>
      <w:tr>
        <w:tc>
          <w:tcPr>
            <w:tcW w:type="dxa" w:w="3024"/>
          </w:tcPr>
          <w:p>
            <w:pPr>
              <w:spacing w:after="80"/>
              <w:jc w:val="both"/>
            </w:pPr>
            <w:r/>
            <w:r>
              <w:rPr>
                <w:rFonts w:ascii="Arial" w:hAnsi="Arial" w:cs="Arial"/>
                <w:sz w:val="20"/>
              </w:rPr>
              <w:t>Instalação e comissionamento em campo</w:t>
            </w:r>
          </w:p>
        </w:tc>
        <w:tc>
          <w:tcPr>
            <w:tcW w:type="dxa" w:w="3024"/>
          </w:tcPr>
          <w:p>
            <w:pPr>
              <w:spacing w:after="80"/>
              <w:jc w:val="both"/>
            </w:pPr>
            <w:r/>
            <w:r>
              <w:rPr>
                <w:rFonts w:ascii="Arial" w:hAnsi="Arial" w:cs="Arial"/>
                <w:sz w:val="20"/>
              </w:rPr>
              <w:t>50 pontos × cerca de R$ 800, com base na hora técnica pesquisada</w:t>
            </w:r>
          </w:p>
        </w:tc>
        <w:tc>
          <w:tcPr>
            <w:tcW w:type="dxa" w:w="3024"/>
          </w:tcPr>
          <w:p>
            <w:pPr>
              <w:spacing w:after="80"/>
              <w:jc w:val="both"/>
            </w:pPr>
            <w:r/>
            <w:r>
              <w:rPr>
                <w:rFonts w:ascii="Arial" w:hAnsi="Arial" w:cs="Arial"/>
                <w:sz w:val="20"/>
              </w:rPr>
              <w:t>40.000</w:t>
            </w:r>
          </w:p>
        </w:tc>
      </w:tr>
      <w:tr>
        <w:tc>
          <w:tcPr>
            <w:tcW w:type="dxa" w:w="3024"/>
          </w:tcPr>
          <w:p>
            <w:pPr>
              <w:spacing w:after="80"/>
              <w:jc w:val="both"/>
            </w:pPr>
            <w:r/>
            <w:r>
              <w:rPr>
                <w:rFonts w:ascii="Arial" w:hAnsi="Arial" w:cs="Arial"/>
                <w:sz w:val="20"/>
              </w:rPr>
              <w:t>Peças sobressalentes</w:t>
            </w:r>
          </w:p>
        </w:tc>
        <w:tc>
          <w:tcPr>
            <w:tcW w:type="dxa" w:w="3024"/>
          </w:tcPr>
          <w:p>
            <w:pPr>
              <w:spacing w:after="80"/>
              <w:jc w:val="both"/>
            </w:pPr>
            <w:r/>
            <w:r>
              <w:rPr>
                <w:rFonts w:ascii="Arial" w:hAnsi="Arial" w:cs="Arial"/>
                <w:sz w:val="20"/>
              </w:rPr>
              <w:t>10% do valor do hardware</w:t>
            </w:r>
          </w:p>
        </w:tc>
        <w:tc>
          <w:tcPr>
            <w:tcW w:type="dxa" w:w="3024"/>
          </w:tcPr>
          <w:p>
            <w:pPr>
              <w:spacing w:after="80"/>
              <w:jc w:val="both"/>
            </w:pPr>
            <w:r/>
            <w:r>
              <w:rPr>
                <w:rFonts w:ascii="Arial" w:hAnsi="Arial" w:cs="Arial"/>
                <w:sz w:val="20"/>
              </w:rPr>
              <w:t>14.825</w:t>
            </w:r>
          </w:p>
        </w:tc>
      </w:tr>
      <w:tr>
        <w:tc>
          <w:tcPr>
            <w:tcW w:type="dxa" w:w="3024"/>
          </w:tcPr>
          <w:p>
            <w:pPr>
              <w:spacing w:after="80"/>
              <w:jc w:val="both"/>
            </w:pPr>
            <w:r/>
            <w:r>
              <w:rPr>
                <w:rFonts w:ascii="Arial" w:hAnsi="Arial" w:cs="Arial"/>
                <w:sz w:val="20"/>
              </w:rPr>
              <w:t>Bancada de homologação</w:t>
            </w:r>
          </w:p>
        </w:tc>
        <w:tc>
          <w:tcPr>
            <w:tcW w:type="dxa" w:w="3024"/>
          </w:tcPr>
          <w:p>
            <w:pPr>
              <w:spacing w:after="80"/>
              <w:jc w:val="both"/>
            </w:pPr>
            <w:r/>
            <w:r>
              <w:rPr>
                <w:rFonts w:ascii="Arial" w:hAnsi="Arial" w:cs="Arial"/>
                <w:sz w:val="20"/>
              </w:rPr>
              <w:t>Equipamento de teste e calibração, uso único no projeto</w:t>
            </w:r>
          </w:p>
        </w:tc>
        <w:tc>
          <w:tcPr>
            <w:tcW w:type="dxa" w:w="3024"/>
          </w:tcPr>
          <w:p>
            <w:pPr>
              <w:spacing w:after="80"/>
              <w:jc w:val="both"/>
            </w:pPr>
            <w:r/>
            <w:r>
              <w:rPr>
                <w:rFonts w:ascii="Arial" w:hAnsi="Arial" w:cs="Arial"/>
                <w:sz w:val="20"/>
              </w:rPr>
              <w:t>25.000</w:t>
            </w:r>
          </w:p>
        </w:tc>
      </w:tr>
      <w:tr>
        <w:tc>
          <w:tcPr>
            <w:tcW w:type="dxa" w:w="3024"/>
          </w:tcPr>
          <w:p>
            <w:pPr>
              <w:spacing w:after="80"/>
              <w:jc w:val="both"/>
            </w:pPr>
            <w:r/>
            <w:r>
              <w:rPr>
                <w:rFonts w:ascii="Arial" w:hAnsi="Arial" w:cs="Arial"/>
                <w:sz w:val="20"/>
              </w:rPr>
              <w:t>Reserva de contingência</w:t>
            </w:r>
          </w:p>
        </w:tc>
        <w:tc>
          <w:tcPr>
            <w:tcW w:type="dxa" w:w="3024"/>
          </w:tcPr>
          <w:p>
            <w:pPr>
              <w:spacing w:after="80"/>
              <w:jc w:val="both"/>
            </w:pPr>
            <w:r/>
            <w:r>
              <w:rPr>
                <w:rFonts w:ascii="Arial" w:hAnsi="Arial" w:cs="Arial"/>
                <w:sz w:val="20"/>
              </w:rPr>
              <w:t>Imprevistos de fabricação, câmbio e frete</w:t>
            </w:r>
          </w:p>
        </w:tc>
        <w:tc>
          <w:tcPr>
            <w:tcW w:type="dxa" w:w="3024"/>
          </w:tcPr>
          <w:p>
            <w:pPr>
              <w:spacing w:after="80"/>
              <w:jc w:val="both"/>
            </w:pPr>
            <w:r/>
            <w:r>
              <w:rPr>
                <w:rFonts w:ascii="Arial" w:hAnsi="Arial" w:cs="Arial"/>
                <w:sz w:val="20"/>
              </w:rPr>
              <w:t>31.925</w:t>
            </w:r>
          </w:p>
        </w:tc>
      </w:tr>
      <w:tr>
        <w:tc>
          <w:tcPr>
            <w:tcW w:type="dxa" w:w="3024"/>
          </w:tcPr>
          <w:p>
            <w:pPr>
              <w:spacing w:after="80"/>
              <w:jc w:val="both"/>
            </w:pPr>
            <w:r/>
            <w:r>
              <w:rPr>
                <w:rFonts w:ascii="Arial" w:hAnsi="Arial" w:cs="Arial"/>
                <w:b/>
                <w:sz w:val="20"/>
              </w:rPr>
              <w:t>Investimento total para 50 pontos</w:t>
            </w:r>
          </w:p>
        </w:tc>
        <w:tc>
          <w:tcPr>
            <w:tcW w:type="dxa" w:w="3024"/>
          </w:tcPr>
          <w:p>
            <w:pPr>
              <w:spacing w:after="80"/>
              <w:jc w:val="both"/>
            </w:pPr>
            <w:r/>
          </w:p>
        </w:tc>
        <w:tc>
          <w:tcPr>
            <w:tcW w:type="dxa" w:w="3024"/>
          </w:tcPr>
          <w:p>
            <w:pPr>
              <w:spacing w:after="80"/>
              <w:jc w:val="both"/>
            </w:pPr>
            <w:r/>
            <w:r>
              <w:rPr>
                <w:rFonts w:ascii="Arial" w:hAnsi="Arial" w:cs="Arial"/>
                <w:b/>
                <w:sz w:val="20"/>
              </w:rPr>
              <w:t>260.000</w:t>
            </w:r>
          </w:p>
        </w:tc>
      </w:tr>
    </w:tbl>
    <w:p>
      <w:pPr>
        <w:spacing w:after="120"/>
      </w:pPr>
    </w:p>
    <w:p>
      <w:pPr>
        <w:spacing w:lineRule="auto" w:line="360" w:after="120" w:before="0"/>
        <w:ind w:firstLine="709"/>
        <w:jc w:val="both"/>
      </w:pPr>
      <w:r>
        <w:rPr>
          <w:rFonts w:ascii="Arial" w:hAnsi="Arial" w:cs="Arial"/>
          <w:sz w:val="24"/>
        </w:rPr>
        <w:t>O investimento total de R$ 260.000 equivale a R$ 5.200 por ponto de monitoramento já instalado e funcionando, dos quais R$ 2.965 são o próprio equipamento e o restante cobre tudo o que é preciso para colocá-lo em operação segura no campo.</w:t>
      </w:r>
    </w:p>
    <w:p>
      <w:pPr>
        <w:spacing w:lineRule="auto" w:line="360" w:after="120" w:before="0"/>
        <w:ind w:firstLine="709"/>
        <w:jc w:val="both"/>
      </w:pPr>
      <w:r>
        <w:rPr>
          <w:rFonts w:ascii="Arial" w:hAnsi="Arial" w:cs="Arial"/>
          <w:b/>
          <w:sz w:val="24"/>
        </w:rPr>
        <w:t>Quanto a empresa gasta hoje</w:t>
      </w:r>
    </w:p>
    <w:p>
      <w:pPr>
        <w:spacing w:lineRule="auto" w:line="360" w:after="120" w:before="0"/>
        <w:ind w:firstLine="709"/>
        <w:jc w:val="both"/>
      </w:pPr>
      <w:r>
        <w:rPr>
          <w:rFonts w:ascii="Arial" w:hAnsi="Arial" w:cs="Arial"/>
          <w:sz w:val="24"/>
        </w:rP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lineRule="auto" w:line="360" w:after="120" w:before="0"/>
        <w:ind w:firstLine="709"/>
        <w:jc w:val="both"/>
      </w:pPr>
      <w:r>
        <w:rPr>
          <w:rFonts w:ascii="Arial" w:hAnsi="Arial" w:cs="Arial"/>
          <w:b/>
          <w:sz w:val="24"/>
        </w:rPr>
        <w:t>Quanto passará a gastar</w:t>
      </w:r>
    </w:p>
    <w:p>
      <w:pPr>
        <w:spacing w:lineRule="auto" w:line="360" w:after="120" w:before="0"/>
        <w:ind w:firstLine="709"/>
        <w:jc w:val="both"/>
      </w:pPr>
      <w:r>
        <w:rPr>
          <w:rFonts w:ascii="Arial" w:hAnsi="Arial" w:cs="Arial"/>
          <w:sz w:val="24"/>
        </w:rPr>
        <w:t>Depois de instalado, o AquaSense ainda gera custo de manutenção, e ignorá-lo distorceria a comparação. Somamos a conectividade celular dos cinquenta pontos, o serviço de nuvem que recebe e processa os dados, a manutenção preventiva de peças e as inspeções físicas mensais de campo. O total é R$ 39.155 por ano, ou cerca de R$ 783 por ponto por ano. O maior item dessa conta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os sensores próximos entre si, o que é o caso típico de uma barragem. Mesmo sem aplicar nenhuma dessas duas reduções, o custo de manutenção anual representa uma fração pequena diante da economia obtida, como mostra o cálculo a seguir.</w:t>
      </w:r>
    </w:p>
    <w:p>
      <w:pPr>
        <w:spacing w:lineRule="auto" w:line="360" w:after="120" w:before="0"/>
        <w:ind w:firstLine="709"/>
        <w:jc w:val="both"/>
      </w:pPr>
      <w:r>
        <w:rPr>
          <w:rFonts w:ascii="Arial" w:hAnsi="Arial" w:cs="Arial"/>
          <w:b/>
          <w:sz w:val="24"/>
        </w:rPr>
        <w:t>O que a empresa ganha</w:t>
      </w:r>
    </w:p>
    <w:p>
      <w:pPr>
        <w:spacing w:lineRule="auto" w:line="360" w:after="120" w:before="0"/>
        <w:ind w:firstLine="709"/>
        <w:jc w:val="both"/>
      </w:pPr>
      <w:r>
        <w:rPr>
          <w:rFonts w:ascii="Arial" w:hAnsi="Arial" w:cs="Arial"/>
          <w:sz w:val="24"/>
        </w:rPr>
        <w:t>Comparando a economia bruta de R$ 600.000 por ano com o custo de manutenção de R$ 39.155, sobra uma economia líquida de R$ 560.845 por ano a partir do segundo ano de operação, uma redução de 93,5% do que a empresa gastava antes. No primeiro ano, é preciso descontar também o investimento inicial de R$ 260.000, o que ainda deixa uma economia líquida de R$ 300.845 já nos primeiros doze meses.</w:t>
      </w:r>
    </w:p>
    <w:p>
      <w:pPr>
        <w:spacing w:lineRule="auto" w:line="360" w:after="120" w:before="0"/>
        <w:ind w:firstLine="709"/>
        <w:jc w:val="both"/>
      </w:pPr>
      <w:r>
        <w:rPr>
          <w:rFonts w:ascii="Arial" w:hAnsi="Arial" w:cs="Arial"/>
          <w:sz w:val="24"/>
        </w:rPr>
        <w:t>Esse resultado permite calcular dois indicadores que costumam aparecer em qualquer análise desse tipo, e que explicamos aqui em palavras simples. O primeiro é o payback, o tempo que a economia gerada leva para pagar de volta o investimento feito. Dividindo o investimento de R$ 260.000 pela economia líquida mensal de aproximadamente R$ 46.737, chegamos a um payback de 5,6 meses: em pouco mais de meio ano de operação, o sistema já se pagou sozinho. O segundo indicador é o ROI, ou retorno sobre o investimento, que mostra quanto volta para o bolso da empresa para cada real investido. No primeiro ano, o ROI é de 116%, o que quer dizer que cada R$ 1,00 investido retorna R$ 2,16: o real investido de volta mais R$ 1,16 de ganho líquido, mesmo já contando o custo de manutenção do primeiro ano. Olhando cinco anos de operação, período em que o investimento inicial é pago uma única vez e só o custo de manutenção se repete, o retorno acumulado chega a 978%, ou seja, cada R$ 1,00 investido vira quase R$ 11,00.</w:t>
      </w:r>
    </w:p>
    <w:p>
      <w:pPr>
        <w:spacing w:lineRule="auto" w:line="360" w:after="120" w:before="0"/>
        <w:ind w:firstLine="709"/>
        <w:jc w:val="both"/>
      </w:pPr>
      <w:r>
        <w:rPr>
          <w:rFonts w:ascii="Arial" w:hAnsi="Arial" w:cs="Arial"/>
          <w:b/>
          <w:sz w:val="24"/>
        </w:rPr>
        <w:t>O AquaSense diante do mercado</w:t>
      </w:r>
    </w:p>
    <w:p>
      <w:pPr>
        <w:spacing w:lineRule="auto" w:line="360" w:after="120" w:before="0"/>
        <w:ind w:firstLine="709"/>
        <w:jc w:val="both"/>
      </w:pPr>
      <w:r>
        <w:rPr>
          <w:rFonts w:ascii="Arial" w:hAnsi="Arial" w:cs="Arial"/>
          <w:sz w:val="24"/>
        </w:rP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Métrica</w:t>
            </w:r>
          </w:p>
        </w:tc>
        <w:tc>
          <w:tcPr>
            <w:tcW w:type="dxa" w:w="2268"/>
          </w:tcPr>
          <w:p>
            <w:pPr>
              <w:spacing w:after="80"/>
              <w:jc w:val="both"/>
            </w:pPr>
            <w:r/>
            <w:r>
              <w:rPr>
                <w:rFonts w:ascii="Arial" w:hAnsi="Arial" w:cs="Arial"/>
                <w:b/>
                <w:sz w:val="20"/>
              </w:rPr>
              <w:t>Situação tradicional (manual)</w:t>
            </w:r>
          </w:p>
        </w:tc>
        <w:tc>
          <w:tcPr>
            <w:tcW w:type="dxa" w:w="2268"/>
          </w:tcPr>
          <w:p>
            <w:pPr>
              <w:spacing w:after="80"/>
              <w:jc w:val="both"/>
            </w:pPr>
            <w:r/>
            <w:r>
              <w:rPr>
                <w:rFonts w:ascii="Arial" w:hAnsi="Arial" w:cs="Arial"/>
                <w:b/>
                <w:sz w:val="20"/>
              </w:rPr>
              <w:t>Solução AquaSense</w:t>
            </w:r>
          </w:p>
        </w:tc>
        <w:tc>
          <w:tcPr>
            <w:tcW w:type="dxa" w:w="2268"/>
          </w:tcPr>
          <w:p>
            <w:pPr>
              <w:spacing w:after="80"/>
              <w:jc w:val="both"/>
            </w:pPr>
            <w:r/>
            <w:r>
              <w:rPr>
                <w:rFonts w:ascii="Arial" w:hAnsi="Arial" w:cs="Arial"/>
                <w:b/>
                <w:sz w:val="20"/>
              </w:rPr>
              <w:t>Impacto</w:t>
            </w:r>
          </w:p>
        </w:tc>
      </w:tr>
      <w:tr>
        <w:tc>
          <w:tcPr>
            <w:tcW w:type="dxa" w:w="2268"/>
          </w:tcPr>
          <w:p>
            <w:pPr>
              <w:spacing w:after="80"/>
              <w:jc w:val="both"/>
            </w:pPr>
            <w:r/>
            <w:r>
              <w:rPr>
                <w:rFonts w:ascii="Arial" w:hAnsi="Arial" w:cs="Arial"/>
                <w:sz w:val="20"/>
              </w:rPr>
              <w:t>Custo operacional anual</w:t>
            </w:r>
          </w:p>
        </w:tc>
        <w:tc>
          <w:tcPr>
            <w:tcW w:type="dxa" w:w="2268"/>
          </w:tcPr>
          <w:p>
            <w:pPr>
              <w:spacing w:after="80"/>
              <w:jc w:val="both"/>
            </w:pPr>
            <w:r/>
            <w:r>
              <w:rPr>
                <w:rFonts w:ascii="Arial" w:hAnsi="Arial" w:cs="Arial"/>
                <w:sz w:val="20"/>
              </w:rPr>
              <w:t>Equipes de medição, deslocamento de veículos e combustível</w:t>
            </w:r>
          </w:p>
        </w:tc>
        <w:tc>
          <w:tcPr>
            <w:tcW w:type="dxa" w:w="2268"/>
          </w:tcPr>
          <w:p>
            <w:pPr>
              <w:spacing w:after="80"/>
              <w:jc w:val="both"/>
            </w:pPr>
            <w:r/>
            <w:r>
              <w:rPr>
                <w:rFonts w:ascii="Arial" w:hAnsi="Arial" w:cs="Arial"/>
                <w:sz w:val="20"/>
              </w:rPr>
              <w:t>Manutenção, nuvem e inspeções planejadas</w:t>
            </w:r>
          </w:p>
        </w:tc>
        <w:tc>
          <w:tcPr>
            <w:tcW w:type="dxa" w:w="2268"/>
          </w:tcPr>
          <w:p>
            <w:pPr>
              <w:spacing w:after="80"/>
              <w:jc w:val="both"/>
            </w:pPr>
            <w:r/>
            <w:r>
              <w:rPr>
                <w:rFonts w:ascii="Arial" w:hAnsi="Arial" w:cs="Arial"/>
                <w:sz w:val="20"/>
              </w:rPr>
              <w:t>Economia de R$ 560.845 por ano a partir do segundo ano</w:t>
            </w:r>
          </w:p>
        </w:tc>
      </w:tr>
      <w:tr>
        <w:tc>
          <w:tcPr>
            <w:tcW w:type="dxa" w:w="2268"/>
          </w:tcPr>
          <w:p>
            <w:pPr>
              <w:spacing w:after="80"/>
              <w:jc w:val="both"/>
            </w:pPr>
            <w:r/>
            <w:r>
              <w:rPr>
                <w:rFonts w:ascii="Arial" w:hAnsi="Arial" w:cs="Arial"/>
                <w:sz w:val="20"/>
              </w:rPr>
              <w:t>Frequência de dados</w:t>
            </w:r>
          </w:p>
        </w:tc>
        <w:tc>
          <w:tcPr>
            <w:tcW w:type="dxa" w:w="2268"/>
          </w:tcPr>
          <w:p>
            <w:pPr>
              <w:spacing w:after="80"/>
              <w:jc w:val="both"/>
            </w:pPr>
            <w:r/>
            <w:r>
              <w:rPr>
                <w:rFonts w:ascii="Arial" w:hAnsi="Arial" w:cs="Arial"/>
                <w:sz w:val="20"/>
              </w:rPr>
              <w:t>Leitura semanal ou quinzenal por piezômetro</w:t>
            </w:r>
          </w:p>
        </w:tc>
        <w:tc>
          <w:tcPr>
            <w:tcW w:type="dxa" w:w="2268"/>
          </w:tcPr>
          <w:p>
            <w:pPr>
              <w:spacing w:after="80"/>
              <w:jc w:val="both"/>
            </w:pPr>
            <w:r/>
            <w:r>
              <w:rPr>
                <w:rFonts w:ascii="Arial" w:hAnsi="Arial" w:cs="Arial"/>
                <w:sz w:val="20"/>
              </w:rPr>
              <w:t>Leituras contínuas ao longo do dia</w:t>
            </w:r>
          </w:p>
        </w:tc>
        <w:tc>
          <w:tcPr>
            <w:tcW w:type="dxa" w:w="2268"/>
          </w:tcPr>
          <w:p>
            <w:pPr>
              <w:spacing w:after="80"/>
              <w:jc w:val="both"/>
            </w:pPr>
            <w:r/>
            <w:r>
              <w:rPr>
                <w:rFonts w:ascii="Arial" w:hAnsi="Arial" w:cs="Arial"/>
                <w:sz w:val="20"/>
              </w:rPr>
              <w:t>Detecção ágil de transientes de pressão e infiltração</w:t>
            </w:r>
          </w:p>
        </w:tc>
      </w:tr>
      <w:tr>
        <w:tc>
          <w:tcPr>
            <w:tcW w:type="dxa" w:w="2268"/>
          </w:tcPr>
          <w:p>
            <w:pPr>
              <w:spacing w:after="80"/>
              <w:jc w:val="both"/>
            </w:pPr>
            <w:r/>
            <w:r>
              <w:rPr>
                <w:rFonts w:ascii="Arial" w:hAnsi="Arial" w:cs="Arial"/>
                <w:sz w:val="20"/>
              </w:rPr>
              <w:t>Segurança do trabalho</w:t>
            </w:r>
          </w:p>
        </w:tc>
        <w:tc>
          <w:tcPr>
            <w:tcW w:type="dxa" w:w="2268"/>
          </w:tcPr>
          <w:p>
            <w:pPr>
              <w:spacing w:after="80"/>
              <w:jc w:val="both"/>
            </w:pPr>
            <w:r/>
            <w:r>
              <w:rPr>
                <w:rFonts w:ascii="Arial" w:hAnsi="Arial" w:cs="Arial"/>
                <w:sz w:val="20"/>
              </w:rPr>
              <w:t>Exposição constante de equipes a áreas geotécnicas instáveis</w:t>
            </w:r>
          </w:p>
        </w:tc>
        <w:tc>
          <w:tcPr>
            <w:tcW w:type="dxa" w:w="2268"/>
          </w:tcPr>
          <w:p>
            <w:pPr>
              <w:spacing w:after="80"/>
              <w:jc w:val="both"/>
            </w:pPr>
            <w:r/>
            <w:r>
              <w:rPr>
                <w:rFonts w:ascii="Arial" w:hAnsi="Arial" w:cs="Arial"/>
                <w:sz w:val="20"/>
              </w:rPr>
              <w:t>Exposição mínima, restrita a visitas programadas</w:t>
            </w:r>
          </w:p>
        </w:tc>
        <w:tc>
          <w:tcPr>
            <w:tcW w:type="dxa" w:w="2268"/>
          </w:tcPr>
          <w:p>
            <w:pPr>
              <w:spacing w:after="80"/>
              <w:jc w:val="both"/>
            </w:pPr>
            <w:r/>
            <w:r>
              <w:rPr>
                <w:rFonts w:ascii="Arial" w:hAnsi="Arial" w:cs="Arial"/>
                <w:sz w:val="20"/>
              </w:rPr>
              <w:t>Redução direta do risco às equipes de campo</w:t>
            </w:r>
          </w:p>
        </w:tc>
      </w:tr>
      <w:tr>
        <w:tc>
          <w:tcPr>
            <w:tcW w:type="dxa" w:w="2268"/>
          </w:tcPr>
          <w:p>
            <w:pPr>
              <w:spacing w:after="80"/>
              <w:jc w:val="both"/>
            </w:pPr>
            <w:r/>
            <w:r>
              <w:rPr>
                <w:rFonts w:ascii="Arial" w:hAnsi="Arial" w:cs="Arial"/>
                <w:sz w:val="20"/>
              </w:rPr>
              <w:t>Investimento</w:t>
            </w:r>
          </w:p>
        </w:tc>
        <w:tc>
          <w:tcPr>
            <w:tcW w:type="dxa" w:w="2268"/>
          </w:tcPr>
          <w:p>
            <w:pPr>
              <w:spacing w:after="80"/>
              <w:jc w:val="both"/>
            </w:pPr>
            <w:r/>
            <w:r>
              <w:rPr>
                <w:rFonts w:ascii="Arial" w:hAnsi="Arial" w:cs="Arial"/>
                <w:sz w:val="20"/>
              </w:rPr>
              <w:t>Gasto recorrente sem gerar ativo permanente</w:t>
            </w:r>
          </w:p>
        </w:tc>
        <w:tc>
          <w:tcPr>
            <w:tcW w:type="dxa" w:w="2268"/>
          </w:tcPr>
          <w:p>
            <w:pPr>
              <w:spacing w:after="80"/>
              <w:jc w:val="both"/>
            </w:pPr>
            <w:r/>
            <w:r>
              <w:rPr>
                <w:rFonts w:ascii="Arial" w:hAnsi="Arial" w:cs="Arial"/>
                <w:sz w:val="20"/>
              </w:rPr>
              <w:t>R$ 260.000 para 50 pontos instalados</w:t>
            </w:r>
          </w:p>
        </w:tc>
        <w:tc>
          <w:tcPr>
            <w:tcW w:type="dxa" w:w="2268"/>
          </w:tcPr>
          <w:p>
            <w:pPr>
              <w:spacing w:after="80"/>
              <w:jc w:val="both"/>
            </w:pPr>
            <w:r/>
            <w:r>
              <w:rPr>
                <w:rFonts w:ascii="Arial" w:hAnsi="Arial" w:cs="Arial"/>
                <w:sz w:val="20"/>
              </w:rPr>
              <w:t>R$ 5.200 por ponto, pago uma única vez</w:t>
            </w:r>
          </w:p>
        </w:tc>
      </w:tr>
      <w:tr>
        <w:tc>
          <w:tcPr>
            <w:tcW w:type="dxa" w:w="2268"/>
          </w:tcPr>
          <w:p>
            <w:pPr>
              <w:spacing w:after="80"/>
              <w:jc w:val="both"/>
            </w:pPr>
            <w:r/>
            <w:r>
              <w:rPr>
                <w:rFonts w:ascii="Arial" w:hAnsi="Arial" w:cs="Arial"/>
                <w:sz w:val="20"/>
              </w:rPr>
              <w:t>Retorno</w:t>
            </w:r>
          </w:p>
        </w:tc>
        <w:tc>
          <w:tcPr>
            <w:tcW w:type="dxa" w:w="2268"/>
          </w:tcPr>
          <w:p>
            <w:pPr>
              <w:spacing w:after="80"/>
              <w:jc w:val="both"/>
            </w:pPr>
            <w:r/>
            <w:r>
              <w:rPr>
                <w:rFonts w:ascii="Arial" w:hAnsi="Arial" w:cs="Arial"/>
                <w:sz w:val="20"/>
              </w:rPr>
              <w:t>Gasto constante sem retorno de capital</w:t>
            </w:r>
          </w:p>
        </w:tc>
        <w:tc>
          <w:tcPr>
            <w:tcW w:type="dxa" w:w="2268"/>
          </w:tcPr>
          <w:p>
            <w:pPr>
              <w:spacing w:after="80"/>
              <w:jc w:val="both"/>
            </w:pPr>
            <w:r/>
            <w:r>
              <w:rPr>
                <w:rFonts w:ascii="Arial" w:hAnsi="Arial" w:cs="Arial"/>
                <w:sz w:val="20"/>
              </w:rPr>
              <w:t>Payback de 5,6 meses; ROI de 116% no ano 1 e 978% em 5 anos</w:t>
            </w:r>
          </w:p>
        </w:tc>
        <w:tc>
          <w:tcPr>
            <w:tcW w:type="dxa" w:w="2268"/>
          </w:tcPr>
          <w:p>
            <w:pPr>
              <w:spacing w:after="80"/>
              <w:jc w:val="both"/>
            </w:pPr>
            <w:r/>
            <w:r>
              <w:rPr>
                <w:rFonts w:ascii="Arial" w:hAnsi="Arial" w:cs="Arial"/>
                <w:sz w:val="20"/>
              </w:rPr>
              <w:t>Cada R$ 1,00 investido retorna quase R$ 11,00 em 5 anos</w:t>
            </w:r>
          </w:p>
        </w:tc>
      </w:tr>
    </w:tbl>
    <w:p>
      <w:pPr>
        <w:spacing w:after="120"/>
      </w:pP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lineRule="auto" w:line="360" w:after="120" w:before="0"/>
        <w:ind w:firstLine="709"/>
        <w:jc w:val="both"/>
      </w:pPr>
      <w:r>
        <w:rPr>
          <w:rFonts w:ascii="Arial" w:hAnsi="Arial" w:cs="Arial"/>
          <w:sz w:val="24"/>
        </w:rPr>
        <w:t>A montagem e a homologação física da Unidade de Controle e Telemetria na bancada vertical de PVC constituem etapa em andamento, na qual a equipe segue validando a integração entre o transdutor de pressão, o circuito de condicionamento de sinal e o gabinete industrial, com o objetivo de comprovar em bancada os mesmos resultados já obtidos no ambiente de simulação e nuvem.</w:t>
      </w:r>
    </w:p>
    <w:p>
      <w:pPr>
        <w:spacing w:lineRule="auto" w:line="360" w:after="120" w:before="0"/>
        <w:ind w:firstLine="709"/>
        <w:jc w:val="both"/>
      </w:pPr>
      <w:r>
        <w:rPr>
          <w:rFonts w:ascii="Arial" w:hAnsi="Arial" w:cs="Arial"/>
          <w:sz w:val="24"/>
        </w:rP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Orçamento estimado (bom)</w:t>
      </w:r>
    </w:p>
    <w:p>
      <w:pPr>
        <w:spacing w:lineRule="auto" w:line="360" w:after="120" w:before="0"/>
        <w:ind w:firstLine="709"/>
        <w:jc w:val="both"/>
      </w:pPr>
      <w:r>
        <w:rPr>
          <w:rFonts w:ascii="Arial" w:hAnsi="Arial" w:cs="Arial"/>
          <w:sz w:val="24"/>
        </w:rPr>
        <w:t>Anexo I: Orçamento Estimado da Unidade de Controle e Telemetria (BOM, Bill of Materials)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Componente</w:t>
            </w:r>
          </w:p>
        </w:tc>
        <w:tc>
          <w:tcPr>
            <w:tcW w:type="dxa" w:w="2268"/>
          </w:tcPr>
          <w:p>
            <w:pPr>
              <w:spacing w:after="80"/>
              <w:jc w:val="both"/>
            </w:pPr>
            <w:r/>
            <w:r>
              <w:rPr>
                <w:rFonts w:ascii="Arial" w:hAnsi="Arial" w:cs="Arial"/>
                <w:b/>
                <w:sz w:val="20"/>
              </w:rPr>
              <w:t>Especificação técnica</w:t>
            </w:r>
          </w:p>
        </w:tc>
        <w:tc>
          <w:tcPr>
            <w:tcW w:type="dxa" w:w="2268"/>
          </w:tcPr>
          <w:p>
            <w:pPr>
              <w:spacing w:after="80"/>
              <w:jc w:val="both"/>
            </w:pPr>
            <w:r/>
            <w:r>
              <w:rPr>
                <w:rFonts w:ascii="Arial" w:hAnsi="Arial" w:cs="Arial"/>
                <w:b/>
                <w:sz w:val="20"/>
              </w:rPr>
              <w:t>Qtde</w:t>
            </w:r>
          </w:p>
        </w:tc>
        <w:tc>
          <w:tcPr>
            <w:tcW w:type="dxa" w:w="2268"/>
          </w:tcPr>
          <w:p>
            <w:pPr>
              <w:spacing w:after="80"/>
              <w:jc w:val="both"/>
            </w:pPr>
            <w:r/>
            <w:r>
              <w:rPr>
                <w:rFonts w:ascii="Arial" w:hAnsi="Arial" w:cs="Arial"/>
                <w:b/>
                <w:sz w:val="20"/>
              </w:rPr>
              <w:t>Função</w:t>
            </w:r>
          </w:p>
        </w:tc>
      </w:tr>
      <w:tr>
        <w:tc>
          <w:tcPr>
            <w:tcW w:type="dxa" w:w="2268"/>
          </w:tcPr>
          <w:p>
            <w:pPr>
              <w:spacing w:after="80"/>
              <w:jc w:val="both"/>
            </w:pPr>
            <w:r/>
            <w:r>
              <w:rPr>
                <w:rFonts w:ascii="Arial" w:hAnsi="Arial" w:cs="Arial"/>
                <w:sz w:val="20"/>
              </w:rPr>
              <w:t>Transdutor de pressão</w:t>
            </w:r>
          </w:p>
        </w:tc>
        <w:tc>
          <w:tcPr>
            <w:tcW w:type="dxa" w:w="2268"/>
          </w:tcPr>
          <w:p>
            <w:pPr>
              <w:spacing w:after="80"/>
              <w:jc w:val="both"/>
            </w:pPr>
            <w:r/>
            <w:r>
              <w:rPr>
                <w:rFonts w:ascii="Arial" w:hAnsi="Arial" w:cs="Arial"/>
                <w:sz w:val="20"/>
              </w:rPr>
              <w:t>Piezorresistivo submersível, saída de corrente de 4 a 20 mA, cabo blindado</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a pressão hidrostática do poço em sinal elétrico analógico padronizado</w:t>
            </w:r>
          </w:p>
        </w:tc>
      </w:tr>
      <w:tr>
        <w:tc>
          <w:tcPr>
            <w:tcW w:type="dxa" w:w="2268"/>
          </w:tcPr>
          <w:p>
            <w:pPr>
              <w:spacing w:after="80"/>
              <w:jc w:val="both"/>
            </w:pPr>
            <w:r/>
            <w:r>
              <w:rPr>
                <w:rFonts w:ascii="Arial" w:hAnsi="Arial" w:cs="Arial"/>
                <w:sz w:val="20"/>
              </w:rPr>
              <w:t>Controlador ESP32</w:t>
            </w:r>
          </w:p>
        </w:tc>
        <w:tc>
          <w:tcPr>
            <w:tcW w:type="dxa" w:w="2268"/>
          </w:tcPr>
          <w:p>
            <w:pPr>
              <w:spacing w:after="80"/>
              <w:jc w:val="both"/>
            </w:pPr>
            <w:r/>
            <w:r>
              <w:rPr>
                <w:rFonts w:ascii="Arial" w:hAnsi="Arial" w:cs="Arial"/>
                <w:sz w:val="20"/>
              </w:rPr>
              <w:t>Microcontrolador com barramentos I2C, SPI e Serial UART expostos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Núcleo de processamento, agendamento de leituras e controle de baixo consumo</w:t>
            </w:r>
          </w:p>
        </w:tc>
      </w:tr>
      <w:tr>
        <w:tc>
          <w:tcPr>
            <w:tcW w:type="dxa" w:w="2268"/>
          </w:tcPr>
          <w:p>
            <w:pPr>
              <w:spacing w:after="80"/>
              <w:jc w:val="both"/>
            </w:pPr>
            <w:r/>
            <w:r>
              <w:rPr>
                <w:rFonts w:ascii="Arial" w:hAnsi="Arial" w:cs="Arial"/>
                <w:sz w:val="20"/>
              </w:rPr>
              <w:t>Conversor ADC externo</w:t>
            </w:r>
          </w:p>
        </w:tc>
        <w:tc>
          <w:tcPr>
            <w:tcW w:type="dxa" w:w="2268"/>
          </w:tcPr>
          <w:p>
            <w:pPr>
              <w:spacing w:after="80"/>
              <w:jc w:val="both"/>
            </w:pPr>
            <w:r/>
            <w:r>
              <w:rPr>
                <w:rFonts w:ascii="Arial" w:hAnsi="Arial" w:cs="Arial"/>
                <w:sz w:val="20"/>
              </w:rPr>
              <w:t>ADS1115 de 16 bits, comunicação I2C, acoplado a resistor de shunt de precisão de 150 Ω (0,1%)</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o sinal de corrente em tensão de alta resolução, entre 0,6 V e 3,0 V</w:t>
            </w:r>
          </w:p>
        </w:tc>
      </w:tr>
      <w:tr>
        <w:tc>
          <w:tcPr>
            <w:tcW w:type="dxa" w:w="2268"/>
          </w:tcPr>
          <w:p>
            <w:pPr>
              <w:spacing w:after="80"/>
              <w:jc w:val="both"/>
            </w:pPr>
            <w:r/>
            <w:r>
              <w:rPr>
                <w:rFonts w:ascii="Arial" w:hAnsi="Arial" w:cs="Arial"/>
                <w:sz w:val="20"/>
              </w:rPr>
              <w:t>Módulo de conectividade</w:t>
            </w:r>
          </w:p>
        </w:tc>
        <w:tc>
          <w:tcPr>
            <w:tcW w:type="dxa" w:w="2268"/>
          </w:tcPr>
          <w:p>
            <w:pPr>
              <w:spacing w:after="80"/>
              <w:jc w:val="both"/>
            </w:pPr>
            <w:r/>
            <w:r>
              <w:rPr>
                <w:rFonts w:ascii="Arial" w:hAnsi="Arial" w:cs="Arial"/>
                <w:sz w:val="20"/>
              </w:rPr>
              <w:t>Modem celular 4G SIM7600, com antena externa e função de SMS local</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Transmitir os dados para a nuvem e prover redundância de alerta via SMS</w:t>
            </w:r>
          </w:p>
        </w:tc>
      </w:tr>
      <w:tr>
        <w:tc>
          <w:tcPr>
            <w:tcW w:type="dxa" w:w="2268"/>
          </w:tcPr>
          <w:p>
            <w:pPr>
              <w:spacing w:after="80"/>
              <w:jc w:val="both"/>
            </w:pPr>
            <w:r/>
            <w:r>
              <w:rPr>
                <w:rFonts w:ascii="Arial" w:hAnsi="Arial" w:cs="Arial"/>
                <w:sz w:val="20"/>
              </w:rPr>
              <w:t>Módulo RTC</w:t>
            </w:r>
          </w:p>
        </w:tc>
        <w:tc>
          <w:tcPr>
            <w:tcW w:type="dxa" w:w="2268"/>
          </w:tcPr>
          <w:p>
            <w:pPr>
              <w:spacing w:after="80"/>
              <w:jc w:val="both"/>
            </w:pPr>
            <w:r/>
            <w:r>
              <w:rPr>
                <w:rFonts w:ascii="Arial" w:hAnsi="Arial" w:cs="Arial"/>
                <w:sz w:val="20"/>
              </w:rPr>
              <w:t>DS3231, comunicação I2C</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Controlar o despertar programado do microcontrolador no modo deep sleep</w:t>
            </w:r>
          </w:p>
        </w:tc>
      </w:tr>
      <w:tr>
        <w:tc>
          <w:tcPr>
            <w:tcW w:type="dxa" w:w="2268"/>
          </w:tcPr>
          <w:p>
            <w:pPr>
              <w:spacing w:after="80"/>
              <w:jc w:val="both"/>
            </w:pPr>
            <w:r/>
            <w:r>
              <w:rPr>
                <w:rFonts w:ascii="Arial" w:hAnsi="Arial" w:cs="Arial"/>
                <w:sz w:val="20"/>
              </w:rPr>
              <w:t>Cartão de memória MicroSD</w:t>
            </w:r>
          </w:p>
        </w:tc>
        <w:tc>
          <w:tcPr>
            <w:tcW w:type="dxa" w:w="2268"/>
          </w:tcPr>
          <w:p>
            <w:pPr>
              <w:spacing w:after="80"/>
              <w:jc w:val="both"/>
            </w:pPr>
            <w:r/>
            <w:r>
              <w:rPr>
                <w:rFonts w:ascii="Arial" w:hAnsi="Arial" w:cs="Arial"/>
                <w:sz w:val="20"/>
              </w:rPr>
              <w:t>Módulo leitor SPI com cartão MicroSD</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Registrar localmente as leituras com carimbo de tempo, como caixa preta do sistema</w:t>
            </w:r>
          </w:p>
        </w:tc>
      </w:tr>
      <w:tr>
        <w:tc>
          <w:tcPr>
            <w:tcW w:type="dxa" w:w="2268"/>
          </w:tcPr>
          <w:p>
            <w:pPr>
              <w:spacing w:after="80"/>
              <w:jc w:val="both"/>
            </w:pPr>
            <w:r/>
            <w:r>
              <w:rPr>
                <w:rFonts w:ascii="Arial" w:hAnsi="Arial" w:cs="Arial"/>
                <w:sz w:val="20"/>
              </w:rPr>
              <w:t>Sistema fotovoltaico</w:t>
            </w:r>
          </w:p>
        </w:tc>
        <w:tc>
          <w:tcPr>
            <w:tcW w:type="dxa" w:w="2268"/>
          </w:tcPr>
          <w:p>
            <w:pPr>
              <w:spacing w:after="80"/>
              <w:jc w:val="both"/>
            </w:pPr>
            <w:r/>
            <w:r>
              <w:rPr>
                <w:rFonts w:ascii="Arial" w:hAnsi="Arial" w:cs="Arial"/>
                <w:sz w:val="20"/>
              </w:rPr>
              <w:t>Painel solar de 20 W, controlador de carga PWM e bateria estacionária selada de 12 V 18 Ah</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Suprir eletricidade de forma autônoma em locais sem infraestrutura elétrica externa</w:t>
            </w:r>
          </w:p>
        </w:tc>
      </w:tr>
      <w:tr>
        <w:tc>
          <w:tcPr>
            <w:tcW w:type="dxa" w:w="2268"/>
          </w:tcPr>
          <w:p>
            <w:pPr>
              <w:spacing w:after="80"/>
              <w:jc w:val="both"/>
            </w:pPr>
            <w:r/>
            <w:r>
              <w:rPr>
                <w:rFonts w:ascii="Arial" w:hAnsi="Arial" w:cs="Arial"/>
                <w:sz w:val="20"/>
              </w:rPr>
              <w:t>Gabinete de campo</w:t>
            </w:r>
          </w:p>
        </w:tc>
        <w:tc>
          <w:tcPr>
            <w:tcW w:type="dxa" w:w="2268"/>
          </w:tcPr>
          <w:p>
            <w:pPr>
              <w:spacing w:after="80"/>
              <w:jc w:val="both"/>
            </w:pPr>
            <w:r/>
            <w:r>
              <w:rPr>
                <w:rFonts w:ascii="Arial" w:hAnsi="Arial" w:cs="Arial"/>
                <w:sz w:val="20"/>
              </w:rPr>
              <w:t>Grau de proteção IP66, com prensa cabos e proteção contra surtos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Proteger a eletrônica das condições ambientais de instalação em campo</w:t>
            </w:r>
          </w:p>
        </w:tc>
      </w:tr>
      <w:tr>
        <w:tc>
          <w:tcPr>
            <w:tcW w:type="dxa" w:w="2268"/>
          </w:tcPr>
          <w:p>
            <w:pPr>
              <w:spacing w:after="80"/>
              <w:jc w:val="both"/>
            </w:pPr>
            <w:r/>
            <w:r>
              <w:rPr>
                <w:rFonts w:ascii="Arial" w:hAnsi="Arial" w:cs="Arial"/>
                <w:sz w:val="20"/>
              </w:rPr>
              <w:t>Bancada de ensaios</w:t>
            </w:r>
          </w:p>
        </w:tc>
        <w:tc>
          <w:tcPr>
            <w:tcW w:type="dxa" w:w="2268"/>
          </w:tcPr>
          <w:p>
            <w:pPr>
              <w:spacing w:after="80"/>
              <w:jc w:val="both"/>
            </w:pPr>
            <w:r/>
            <w:r>
              <w:rPr>
                <w:rFonts w:ascii="Arial" w:hAnsi="Arial" w:cs="Arial"/>
                <w:sz w:val="20"/>
              </w:rPr>
              <w:t>Tubulação vertical de PVC de 2 metros, conexões e válvula de drenagem</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Simular fisicamente as variações do nível de água para homologação do sistema</w:t>
            </w:r>
          </w:p>
        </w:tc>
      </w:tr>
      <w:tr>
        <w:tc>
          <w:tcPr>
            <w:tcW w:type="dxa" w:w="2268"/>
          </w:tcPr>
          <w:p>
            <w:pPr>
              <w:spacing w:after="80"/>
              <w:jc w:val="both"/>
            </w:pPr>
            <w:r/>
            <w:r>
              <w:rPr>
                <w:rFonts w:ascii="Arial" w:hAnsi="Arial" w:cs="Arial"/>
                <w:b/>
                <w:sz w:val="20"/>
              </w:rPr>
              <w:t>Custo total de componentes de referência: R$ 2.965,00 por unidade</w:t>
            </w:r>
          </w:p>
        </w:tc>
        <w:tc>
          <w:tcPr>
            <w:tcW w:type="dxa" w:w="2268"/>
          </w:tcPr>
          <w:p>
            <w:pPr>
              <w:spacing w:after="80"/>
              <w:jc w:val="both"/>
            </w:pPr>
            <w:r/>
          </w:p>
        </w:tc>
        <w:tc>
          <w:tcPr>
            <w:tcW w:type="dxa" w:w="2268"/>
          </w:tcPr>
          <w:p>
            <w:pPr>
              <w:spacing w:after="80"/>
              <w:jc w:val="both"/>
            </w:pPr>
            <w:r/>
          </w:p>
        </w:tc>
        <w:tc>
          <w:tcPr>
            <w:tcW w:type="dxa" w:w="2268"/>
          </w:tcPr>
          <w:p>
            <w:pPr>
              <w:spacing w:after="80"/>
              <w:jc w:val="both"/>
            </w:pPr>
            <w:r/>
          </w:p>
        </w:tc>
      </w:tr>
    </w:tbl>
    <w:p>
      <w:pPr>
        <w:spacing w:after="120"/>
      </w:pPr>
    </w:p>
    <w:p>
      <w:pPr>
        <w:spacing w:lineRule="auto" w:line="360" w:after="120" w:before="120"/>
        <w:ind w:firstLine="0"/>
        <w:jc w:val="left"/>
      </w:pPr>
      <w:r>
        <w:rPr>
          <w:rFonts w:ascii="Arial" w:hAnsi="Arial" w:cs="Arial"/>
          <w:b/>
          <w:sz w:val="24"/>
        </w:rPr>
        <w:t>1.4.2 Bmg canvas</w:t>
      </w:r>
    </w:p>
    <w:p>
      <w:pPr>
        <w:spacing w:lineRule="auto" w:line="360" w:after="120" w:before="0"/>
        <w:ind w:firstLine="709"/>
        <w:jc w:val="both"/>
      </w:pPr>
      <w:r>
        <w:rPr>
          <w:rFonts w:ascii="Arial" w:hAnsi="Arial" w:cs="Arial"/>
          <w:sz w:val="24"/>
        </w:rPr>
        <w:t xml:space="preserve">Anexo II: BMG Canvas do projeto. </w:t>
      </w:r>
      <w:r>
        <w:rPr>
          <w:rFonts w:ascii="Arial" w:hAnsi="Arial" w:cs="Arial"/>
          <w:b/>
          <w:color w:val="C00000"/>
          <w:sz w:val="24"/>
        </w:rPr>
        <w:t>[PREENCHER: inserir imagem do BMG Canvas]</w:t>
      </w:r>
    </w:p>
    <w:p>
      <w:pPr>
        <w:spacing w:lineRule="auto" w:line="360" w:after="120" w:before="120"/>
        <w:ind w:firstLine="0"/>
        <w:jc w:val="left"/>
      </w:pPr>
      <w:r>
        <w:rPr>
          <w:rFonts w:ascii="Arial" w:hAnsi="Arial" w:cs="Arial"/>
          <w:b/>
          <w:sz w:val="24"/>
        </w:rPr>
        <w:t>1.4.3 Situação de aprendizagem</w:t>
      </w:r>
    </w:p>
    <w:p>
      <w:pPr>
        <w:spacing w:lineRule="auto" w:line="360" w:after="120" w:before="0"/>
        <w:ind w:firstLine="709"/>
        <w:jc w:val="both"/>
      </w:pPr>
      <w:r>
        <w:rPr>
          <w:rFonts w:ascii="Arial" w:hAnsi="Arial" w:cs="Arial"/>
          <w:sz w:val="24"/>
        </w:rPr>
        <w:t xml:space="preserve">Anexo III: </w:t>
      </w:r>
      <w:r>
        <w:rPr>
          <w:rFonts w:ascii="Arial" w:hAnsi="Arial" w:cs="Arial"/>
          <w:b/>
          <w:color w:val="C00000"/>
          <w:sz w:val="24"/>
        </w:rPr>
        <w:t>[PREENCHER: Situação de Aprendizagem aplicada ao curso técnico]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