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F923" w14:textId="77777777" w:rsidR="00A40530" w:rsidRDefault="00000000">
      <w:pPr>
        <w:spacing w:before="2000"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Previsão do Fechamento do IBOVESPA</w:t>
      </w:r>
    </w:p>
    <w:p w14:paraId="4B199918" w14:textId="77777777" w:rsidR="00A40530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8"/>
          <w:szCs w:val="28"/>
        </w:rPr>
        <w:t xml:space="preserve">Tech </w:t>
      </w:r>
      <w:proofErr w:type="spellStart"/>
      <w:r>
        <w:rPr>
          <w:rFonts w:ascii="Calibri" w:eastAsia="Calibri" w:hAnsi="Calibri" w:cs="Calibri"/>
          <w:color w:val="444444"/>
          <w:sz w:val="28"/>
          <w:szCs w:val="28"/>
        </w:rPr>
        <w:t>Challenge</w:t>
      </w:r>
      <w:proofErr w:type="spellEnd"/>
      <w:r>
        <w:rPr>
          <w:rFonts w:ascii="Calibri" w:eastAsia="Calibri" w:hAnsi="Calibri" w:cs="Calibri"/>
          <w:color w:val="444444"/>
          <w:sz w:val="28"/>
          <w:szCs w:val="28"/>
        </w:rPr>
        <w:t xml:space="preserve"> — Fase 2 — POSTECH Data </w:t>
      </w:r>
      <w:proofErr w:type="spellStart"/>
      <w:r>
        <w:rPr>
          <w:rFonts w:ascii="Calibri" w:eastAsia="Calibri" w:hAnsi="Calibri" w:cs="Calibri"/>
          <w:color w:val="444444"/>
          <w:sz w:val="28"/>
          <w:szCs w:val="28"/>
        </w:rPr>
        <w:t>Analytics</w:t>
      </w:r>
      <w:proofErr w:type="spellEnd"/>
    </w:p>
    <w:p w14:paraId="3012FE58" w14:textId="77777777" w:rsidR="00A40530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Estratégia de dados, </w:t>
      </w:r>
      <w:proofErr w:type="spellStart"/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>storytelling</w:t>
      </w:r>
      <w:proofErr w:type="spellEnd"/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e modelo preditivo de séries temporais</w:t>
      </w:r>
    </w:p>
    <w:p w14:paraId="14362E9A" w14:textId="4A362AE5" w:rsidR="00A40530" w:rsidRDefault="00000000" w:rsidP="004F6707">
      <w:pPr>
        <w:spacing w:after="200" w:line="30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Este documento descreve, passo a passo, toda a estratégia de dados construída para prever o fechamento diário do índice IBOVESPA, incluindo a explicação de cada etapa do código desenvolvido, as decisões técnicas tomadas e os resultados obtidos. O código completo e executável está disponível no notebook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acompanha esta entrega.</w:t>
      </w:r>
    </w:p>
    <w:p w14:paraId="14C7EA50" w14:textId="0B3878E0" w:rsidR="004F6707" w:rsidRP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 w:rsidRPr="004F6707">
        <w:rPr>
          <w:rFonts w:ascii="Calibri" w:eastAsia="Calibri" w:hAnsi="Calibri" w:cs="Calibri"/>
          <w:b/>
          <w:bCs/>
          <w:sz w:val="22"/>
          <w:szCs w:val="22"/>
        </w:rPr>
        <w:t>Nome: Willian Teixeira Candido</w:t>
      </w:r>
    </w:p>
    <w:p w14:paraId="1BD84AF9" w14:textId="41329808" w:rsidR="004F6707" w:rsidRP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 w:rsidRPr="004F6707">
        <w:rPr>
          <w:rFonts w:ascii="Calibri" w:eastAsia="Calibri" w:hAnsi="Calibri" w:cs="Calibri"/>
          <w:b/>
          <w:bCs/>
          <w:sz w:val="22"/>
          <w:szCs w:val="22"/>
        </w:rPr>
        <w:t>RM:</w:t>
      </w:r>
      <w:r w:rsidRPr="004F6707">
        <w:rPr>
          <w:rFonts w:ascii="Calibri" w:eastAsia="Calibri" w:hAnsi="Calibri" w:cs="Calibri"/>
          <w:b/>
          <w:bCs/>
          <w:sz w:val="22"/>
          <w:szCs w:val="22"/>
        </w:rPr>
        <w:t>366013</w:t>
      </w:r>
    </w:p>
    <w:p w14:paraId="29FFB679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18B63C9B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060E546C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3FCF41C8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6E9D034F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22A01DE0" w14:textId="77777777" w:rsidR="004F6707" w:rsidRDefault="004F6707" w:rsidP="004F6707">
      <w:pPr>
        <w:spacing w:after="200" w:line="300" w:lineRule="auto"/>
        <w:jc w:val="right"/>
        <w:rPr>
          <w:rFonts w:ascii="Calibri" w:eastAsia="Calibri" w:hAnsi="Calibri" w:cs="Calibri"/>
          <w:sz w:val="22"/>
          <w:szCs w:val="22"/>
        </w:rPr>
      </w:pPr>
    </w:p>
    <w:p w14:paraId="65BA61BF" w14:textId="77777777" w:rsidR="004F6707" w:rsidRDefault="004F6707" w:rsidP="004F6707">
      <w:pPr>
        <w:spacing w:after="200" w:line="300" w:lineRule="auto"/>
        <w:jc w:val="both"/>
      </w:pPr>
    </w:p>
    <w:p w14:paraId="7DA69073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1. Objetivo e estratégia geral</w:t>
      </w:r>
    </w:p>
    <w:p w14:paraId="7A00890E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 desafio proposto foi criar um modelo preditivo de séries temporais para o fechamento diário do IBOVESPA, com assertividade mínima de 80%, para ser utilizado como ferramenta de apoio à decisão de investidores. Antes de iniciar a modelagem, foi necessário definir com precisão o que significa "assertividade" para uma série financeira, pois essa definição molda toda a estratégia de dados.</w:t>
      </w:r>
    </w:p>
    <w:p w14:paraId="0196D2E7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Antes de sair testando modelos, vale parar num ponto que muda o rumo de todo o projeto: o que significa, na prática, "acertar" a previsão de um índice de bolsa? O IBOVESPA se comporta de forma muito parecida com um passeio aleatório — o fechamento de um dia costuma ficar bem próximo do fechamento do dia anterior, e saltos diários acima de 2% são a exceção, não a regra. Essa característica muda a forma como qualquer resultado deve ser lido, e orienta duas frentes de trabalho bem diferentes.</w:t>
      </w:r>
    </w:p>
    <w:p w14:paraId="1225A24A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Prever o valor de fechamento (regressão): aqui até um modelo bobo, que simplesmente repete o valor de ontem, já erra pouco em termos percentuais. Definimos a assertividade como 1 − WMAPE (</w:t>
      </w:r>
      <w:proofErr w:type="spellStart"/>
      <w:r>
        <w:rPr>
          <w:rFonts w:ascii="Calibri" w:eastAsia="Calibri" w:hAnsi="Calibri" w:cs="Calibri"/>
          <w:sz w:val="22"/>
          <w:szCs w:val="22"/>
        </w:rPr>
        <w:t>Weighted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Absolute </w:t>
      </w:r>
      <w:proofErr w:type="spellStart"/>
      <w:r>
        <w:rPr>
          <w:rFonts w:ascii="Calibri" w:eastAsia="Calibri" w:hAnsi="Calibri" w:cs="Calibri"/>
          <w:sz w:val="22"/>
          <w:szCs w:val="22"/>
        </w:rPr>
        <w:t>Percentage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Error) e complementamos com uma métrica mais palpável: o percentual de dias em que a previsão fica dentro de uma margem de erro aceitável do valor real. É essa segunda leitura, girando em torno de 82%, que usamos como número-âncora do projeto.</w:t>
      </w:r>
    </w:p>
    <w:p w14:paraId="48CFB77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Prever a direção do próximo pregão (alta ou baixa): uma pergunta bem mais dura, e a que realmente importaria numa mesa de investimentos. Encaramos esse desafio de frente, testamos bastante, e reportamos com transparência até onde conseguimos chegar — e por quê.</w:t>
      </w:r>
    </w:p>
    <w:p w14:paraId="63BE399E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entrega formal da meta de assertividade é resolvida pela via de regressão, com validação temporal correta (sem espiar o futuro). A classificação de direção entra como uma investigação paralela, que acaba deixando o projeto mais honesto do que se essa pergunta mais difícil fosse simplesmente ignorada.</w:t>
      </w:r>
    </w:p>
    <w:p w14:paraId="13B53B6B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1.1 Roteiro do documento</w:t>
      </w:r>
    </w:p>
    <w:p w14:paraId="2AB52342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Leitura e limpeza dos dados</w:t>
      </w:r>
    </w:p>
    <w:p w14:paraId="021654FA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Storytelling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análise exploratória e contexto histórico dos picos de alta e baixa</w:t>
      </w:r>
    </w:p>
    <w:p w14:paraId="2DC69E90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Decomposição da série temporal e teste de </w:t>
      </w:r>
      <w:proofErr w:type="spellStart"/>
      <w:r>
        <w:rPr>
          <w:rFonts w:ascii="Calibri" w:eastAsia="Calibri" w:hAnsi="Calibri" w:cs="Calibri"/>
          <w:sz w:val="22"/>
          <w:szCs w:val="22"/>
        </w:rPr>
        <w:t>estacionariedade</w:t>
      </w:r>
      <w:proofErr w:type="spellEnd"/>
    </w:p>
    <w:p w14:paraId="37BDC671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Engenharia de atributos (features)</w:t>
      </w:r>
    </w:p>
    <w:p w14:paraId="0672BC83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Separação treino/teste respeitando a ordem temporal</w:t>
      </w:r>
    </w:p>
    <w:p w14:paraId="7AB6B0CC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Modelo baseline (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4DA97FB0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Modelo utilizado (ARIMA) — explicação e vantagens</w:t>
      </w:r>
    </w:p>
    <w:p w14:paraId="7A946D42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Modelos de regressão com features — comparação</w:t>
      </w:r>
    </w:p>
    <w:p w14:paraId="2B307384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Classificação de direção — investigação complementar sobre a meta de 80% de acurácia</w:t>
      </w:r>
    </w:p>
    <w:p w14:paraId="7CCC5036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Demonstração de resultados com métricas estatísticas</w:t>
      </w:r>
    </w:p>
    <w:p w14:paraId="452E2FD6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Predição dos próximos 15 dias</w:t>
      </w:r>
    </w:p>
    <w:p w14:paraId="17EE074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Conclusão, limitações e próximos passos</w:t>
      </w:r>
    </w:p>
    <w:p w14:paraId="2199DCCD" w14:textId="77777777" w:rsidR="00A40530" w:rsidRDefault="00000000">
      <w:r>
        <w:br w:type="page"/>
      </w:r>
    </w:p>
    <w:p w14:paraId="26B86C2E" w14:textId="68963B18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. Leitura e limpeza dos dados</w:t>
      </w:r>
    </w:p>
    <w:p w14:paraId="0C1AF40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base de dados utilizada contém o histórico diário do IBOVESPA entre 04/01/2010 e 30/06/2026 (4.088 pregões), com as colunas de data, fechamento, abertura, máxima, mínima, volume negociado e variação percentual do dia. Antes de qualquer modelagem, quatro inconsistências no arquivo original precisaram ser corrigidas:</w:t>
      </w:r>
    </w:p>
    <w:p w14:paraId="0110B026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A coluna de data vinha como texto, no formato dia/mês/ano, e precisou ser convertida para um tipo de data reconhecido </w:t>
      </w:r>
      <w:proofErr w:type="gramStart"/>
      <w:r>
        <w:rPr>
          <w:rFonts w:ascii="Calibri" w:eastAsia="Calibri" w:hAnsi="Calibri" w:cs="Calibri"/>
          <w:sz w:val="22"/>
          <w:szCs w:val="22"/>
        </w:rPr>
        <w:t>pelo pandas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7842621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 coluna de variação percentual vinha como texto, com vírgula como separador decimal e o símbolo de porcentagem, precisando ser convertida para número.</w:t>
      </w:r>
    </w:p>
    <w:p w14:paraId="25BA06B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 coluna de volume negociado mistura três unidades diferentes no mesmo texto: K (mil), M (milhão) e B (bilhão) — o volume negociado cresceu tanto ao longo dos 16 anos que a própria fonte de dados muda a unidade de medida conforme o período. Tratar isso de forma ingênua (por exemplo, dividindo por 1000 apenas os valores "grandes demais") geraria uma série de volume completamente distorcida, misturando milhões com bilhões como se fossem a mesma grandeza.</w:t>
      </w:r>
    </w:p>
    <w:p w14:paraId="6CA07152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Havia uma única linha com valor nulo de volume, removida por não comprometer a representatividade da série.</w:t>
      </w:r>
    </w:p>
    <w:p w14:paraId="622844A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trecho de código abaixo realiza a leitura do arquivo CSV e todas as correções descritas. A função </w:t>
      </w:r>
      <w:proofErr w:type="spellStart"/>
      <w:r>
        <w:rPr>
          <w:rFonts w:ascii="Calibri" w:eastAsia="Calibri" w:hAnsi="Calibri" w:cs="Calibri"/>
          <w:sz w:val="22"/>
          <w:szCs w:val="22"/>
        </w:rPr>
        <w:t>parse_volume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separa o número da letra da unidade e aplica o multiplicador correto (mil, milhão ou bilhão), normalizando tudo para milhões de reais. Em seguida, a base é reordenada de forma ascendente por data, já que o arquivo original vem do pregão mais recente para o mais antigo — uma ordenação correta é essencial para qualquer modelo de série temporal.</w:t>
      </w:r>
    </w:p>
    <w:p w14:paraId="3DDDDFC8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path = 'dados_ibovespa_2010-2026.csv'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dados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pd.read_csv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(path,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parse_dates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=[0],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dayfirst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dados.columns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'y', 'abertura',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'min', 'volume',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Var%: vírgula -&gt; ponto, remove '%'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dados['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(dados['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str.replace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('%', '',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str.replace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(',', '.',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Volume: separa número da unidade (K/M/B) e normaliza tudo para MILHÕES de R$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parse_volume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(v):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pd.isna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(v):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np.nan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v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(v).strip()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unit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v[-1]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num = v[:-1].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replace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(',', '.')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mult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{'K': 1e3, 'M': 1e6, 'B': 1e9}.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unit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mult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np.nan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(num) *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mult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1e6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dados['volume'] = dados['volume'].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apply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parse_volume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remove a única linha com volume nulo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dados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=['volume']).copy()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a base vem ordenada do mais recente para o mais antigo -&gt; ordena ascendente (essencial p/ série temporal)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dados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dados.sort_values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drop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f'Período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dados.ds.min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().date()} a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dados.ds.max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().date()}  | 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(dados)} pregões')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dados.head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03DEC8D6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Após a limpeza, a base final possui o período de 2026-06-30 (última data disponível) com 4.088 pregões utilizáveis. O gráfico abaixo mostra o volume negociado já corrigido, evidenciando o crescimento real do volume ao longo dos anos — de poucos milhões de reais em 2010 a vários bilhões em 2026 — sem os saltos artificiais que apareceriam ao misturar as três unidades como se fossem a mesma escala.</w:t>
      </w:r>
    </w:p>
    <w:p w14:paraId="14CB70AB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5E9A3E0B" wp14:editId="5E4B193D">
            <wp:extent cx="5334000" cy="1724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0911" w14:textId="77777777" w:rsidR="00A40530" w:rsidRDefault="00000000">
      <w:r>
        <w:br w:type="page"/>
      </w:r>
    </w:p>
    <w:p w14:paraId="3E9EACD0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Storytelling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e análise exploratória dos dados</w:t>
      </w:r>
    </w:p>
    <w:p w14:paraId="68588705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Com os dados limpos, a primeira etapa de qualquer projeto de séries temporais é simplesmente olhar para a série antes de sair propondo modelos. O código abaixo plota o fechamento diário do IBOVESPA ao longo de todo o período disponível.</w:t>
      </w:r>
    </w:p>
    <w:p w14:paraId="2740B464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20, 6))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sns.lineplot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(dados, x='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y='y',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'Fechamento diário do IBOVESPA (2010–2026)',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fontsize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=14)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ylabel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'Índice (milhares de pontos)')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ax.set_xlabel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('')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7855378B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021432EC" wp14:editId="5BF24194">
            <wp:extent cx="5334000" cy="1733550"/>
            <wp:effectExtent l="0" t="0" r="0" b="0"/>
            <wp:docPr id="169475737" name="Imagem 16947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9D1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Dá para separar a história em blocos: queda entre 2010 e 2016, forte alta entre 2016 e 2020, o tombo da pandemia em 2020, e depois uma sucessão de novos ciclos até atingir patamares inéditos em 2025-2026. Não existe um padrão que se repita ano a ano — são tendências de longo prazo, moldadas por contexto econômico e político, não por estação do ano. Para dar sentido de negócio a esses ciclos (o </w:t>
      </w:r>
      <w:proofErr w:type="spellStart"/>
      <w:r>
        <w:rPr>
          <w:rFonts w:ascii="Calibri" w:eastAsia="Calibri" w:hAnsi="Calibri" w:cs="Calibri"/>
          <w:sz w:val="22"/>
          <w:szCs w:val="22"/>
        </w:rPr>
        <w:t>storytelling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pedido no desafio), cada fase foi associada a eventos reais do Brasil e do mundo: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2592"/>
        <w:gridCol w:w="5172"/>
      </w:tblGrid>
      <w:tr w:rsidR="00A40530" w14:paraId="5ACBF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7D89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DF4A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Comportamento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F0A7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</w:tr>
      <w:tr w:rsidR="00A40530" w14:paraId="1C75BC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889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2010–2015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ADE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Queda / estagnação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399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Desaceleração da economia brasileira, deterioração fiscal e perda do grau de investimento do país.</w:t>
            </w:r>
          </w:p>
        </w:tc>
      </w:tr>
      <w:tr w:rsidR="00A40530" w14:paraId="06DC4E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5EF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2015–2016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90B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Ponto de mínimo do período</w:t>
            </w:r>
          </w:p>
        </w:tc>
        <w:tc>
          <w:tcPr>
            <w:tcW w:w="5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62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Auge da crise política (processo de impeachment) e da recessão econômica — pico do pessimismo do mercado.</w:t>
            </w:r>
          </w:p>
        </w:tc>
      </w:tr>
      <w:tr w:rsidR="00A40530" w14:paraId="6FEA56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10D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2016–2020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0E7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Forte tendência de alta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FF8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Reforma trabalhista, expectativa de reformas estruturais (previdência) e cenário global de juros baixos, atraindo capital para mercados emergentes.</w:t>
            </w:r>
          </w:p>
        </w:tc>
      </w:tr>
      <w:tr w:rsidR="00A40530" w14:paraId="4A6058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9920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Fev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–Mar/2020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081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Queda mais rápida e intensa do período</w:t>
            </w:r>
          </w:p>
        </w:tc>
        <w:tc>
          <w:tcPr>
            <w:tcW w:w="5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0FD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Choque inicial da pandemia de Covid-19, com os "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circuit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breakers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" (paralisações de pregão) mais frequentes da história da B3.</w:t>
            </w:r>
          </w:p>
        </w:tc>
      </w:tr>
      <w:tr w:rsidR="00A40530" w14:paraId="24C7E5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CFA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2020–2021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92E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Recuperação em "V"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D81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Estímulos monetários e fiscais em resposta à pandemia; migração de investidores de renda fixa para renda variável com a Selic em mínimas históricas.</w:t>
            </w:r>
          </w:p>
        </w:tc>
      </w:tr>
      <w:tr w:rsidR="00A40530" w14:paraId="0E5FD9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2FB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2021–2022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095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Novo ciclo de queda / lateralização</w:t>
            </w:r>
          </w:p>
        </w:tc>
        <w:tc>
          <w:tcPr>
            <w:tcW w:w="5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A0A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Início do aperto monetário (alta da Selic) para conter a inflação pós-pandemia, somado à incerteza eleitoral.</w:t>
            </w:r>
          </w:p>
        </w:tc>
      </w:tr>
      <w:tr w:rsidR="00A40530" w14:paraId="0B3B8C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F68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lastRenderedPageBreak/>
              <w:t>2023–2026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666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Novo ciclo de alta, com recordes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C92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Início do ciclo de corte de juros, fluxo de capital estrangeiro e resultados corporativos, levando o índice a patamares recordes ao final da série.</w:t>
            </w:r>
          </w:p>
        </w:tc>
      </w:tr>
    </w:tbl>
    <w:p w14:paraId="06798382" w14:textId="77777777" w:rsidR="00A40530" w:rsidRDefault="00A40530">
      <w:pPr>
        <w:spacing w:after="200"/>
      </w:pPr>
    </w:p>
    <w:p w14:paraId="7EB6B417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Esse pano de fundo macroeconômico e político dá sentido às mudanças de regime identificadas na série, e reforça </w:t>
      </w:r>
      <w:proofErr w:type="gramStart"/>
      <w:r>
        <w:rPr>
          <w:rFonts w:ascii="Calibri" w:eastAsia="Calibri" w:hAnsi="Calibri" w:cs="Calibri"/>
          <w:sz w:val="22"/>
          <w:szCs w:val="22"/>
        </w:rPr>
        <w:t>por que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um modelo de séries temporais precisa ser reavaliado periodicamente: o comportamento estatístico do IBOVESPA muda de forma estrutural entre esses ciclos.</w:t>
      </w:r>
    </w:p>
    <w:p w14:paraId="4227DA74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3.1 Variação diária e volatilidade</w:t>
      </w:r>
    </w:p>
    <w:p w14:paraId="0DF476F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Em seguida, analisamos a variação percentual diária do índice, que evidencia os períodos de maior volatilidade.</w:t>
      </w:r>
    </w:p>
    <w:p w14:paraId="7684F855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20, 6))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sns.lineplot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(dados, x='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y='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ax.axhline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(y=0, color='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linewidth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'Variação diária do IBOVESPA (%)',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fontsize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=14)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ylabel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'Variação (%)')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ax.set_xlabel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('')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'Maiores variações (%):')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dados.nlargest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(3,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')[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']])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'Menores variações (%):')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dados.nsmallest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(3,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')[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variacao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']])</w:t>
      </w:r>
    </w:p>
    <w:p w14:paraId="6637D8D3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77CAAD4C" wp14:editId="356727FC">
            <wp:extent cx="5334000" cy="1733550"/>
            <wp:effectExtent l="0" t="0" r="0" b="0"/>
            <wp:docPr id="1250311190" name="Imagem 125031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11EA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Os picos de maior volatilidade ocorrem, como esperado, em março de 2020 (maior alta diária de 13,91% e maior queda diária de -14,78%, ambas na mesma semana). A maioria dos dias, porém, se concentra entre -2% e +2% de variação — um comportamento consistente com o que se espera de um índice amplo e líquido como o IBOVESPA. Essa faixa de variação típica (±2%) é usada mais adiante para definir uma margem de tolerância estatisticamente justificada para a métrica de acurácia.</w:t>
      </w:r>
    </w:p>
    <w:p w14:paraId="3D69E9C4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3.2 Relação entre fechamento e volume negociado</w:t>
      </w:r>
    </w:p>
    <w:p w14:paraId="2339E10B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corr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dados[['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y','volume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corr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iloc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[0,1]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10, 6))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sns.regplot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(dados, x='y', y='volume',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scatter_kws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={'alpha':0.3},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line_kws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={'color':'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'})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f'Fechamento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x Volume negociado (correlação = {corr:.2f})',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fontsize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=14)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7E7B187E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5175AD43" wp14:editId="2A84BE74">
            <wp:extent cx="5334000" cy="3371850"/>
            <wp:effectExtent l="0" t="0" r="0" b="0"/>
            <wp:docPr id="681523921" name="Imagem 68152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8E23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correlação entre o nível do índice e o volume negociado é positiva, refletindo o crescimento conjunto do mercado de capitais brasileiro ao longo do período — mais participantes, mais liquidez e, consequentemente, um índice em patamares mais altos.</w:t>
      </w:r>
    </w:p>
    <w:p w14:paraId="46C4B200" w14:textId="77777777" w:rsidR="00A40530" w:rsidRDefault="00000000">
      <w:r>
        <w:br w:type="page"/>
      </w:r>
    </w:p>
    <w:p w14:paraId="02ED8950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4. Decomposição da série temporal e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estacionariedade</w:t>
      </w:r>
      <w:proofErr w:type="spellEnd"/>
    </w:p>
    <w:p w14:paraId="6DB97756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4.1 Decomposição em tendência, sazonalidade e resíduo</w:t>
      </w:r>
    </w:p>
    <w:p w14:paraId="7F23FDB3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Para decompor a série em seus componentes clássicos — tendência, sazonalidade e resíduo — é necessário que a série tenha uma frequência regular. Como a base só contém dias de pregão (sem fins de semana e feriados), preenchemos essas lacunas com o último valor válido (</w:t>
      </w:r>
      <w:proofErr w:type="spellStart"/>
      <w:r>
        <w:rPr>
          <w:rFonts w:ascii="Calibri" w:eastAsia="Calibri" w:hAnsi="Calibri" w:cs="Calibri"/>
          <w:sz w:val="22"/>
          <w:szCs w:val="22"/>
        </w:rPr>
        <w:t>ffill</w:t>
      </w:r>
      <w:proofErr w:type="spellEnd"/>
      <w:r>
        <w:rPr>
          <w:rFonts w:ascii="Calibri" w:eastAsia="Calibri" w:hAnsi="Calibri" w:cs="Calibri"/>
          <w:sz w:val="22"/>
          <w:szCs w:val="22"/>
        </w:rPr>
        <w:t>), apenas para viabilizar a decomposição visual. É importante destacar que os modelos preditivos das seções seguintes não utilizam essa série preenchida artificialmente — apenas os dias de pregão reais.</w:t>
      </w:r>
    </w:p>
    <w:p w14:paraId="22C8BCAE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dados_diario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dados[['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','y']].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asfreq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('D').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ffill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decomposicao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seasonal_decompose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dados_diario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['y'], model='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additive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period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=365)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(4, 1,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=(20, 13),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sharex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decomposicao.observed.plot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[0]);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[0].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('Série observada')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decomposicao.trend.plot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[1]);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[1].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('Tendência')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decomposicao.seasonal.plot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[2]);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[2].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('Sazonalidade (período = 365 dias)')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decomposicao.resid.plot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[3]);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[3].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('Resíduo')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plt.tight_layout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09FB3468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418B3D2F" wp14:editId="15B71423">
            <wp:extent cx="4953000" cy="3209925"/>
            <wp:effectExtent l="0" t="0" r="0" b="0"/>
            <wp:docPr id="1055394750" name="Imagem 105539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416B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leitura da decomposição traz três conclusões importantes:</w:t>
      </w:r>
    </w:p>
    <w:p w14:paraId="41D84BDC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Tendência: reproduz, de forma suavizada, os mesmos ciclos de alta e baixa plurianuais descritos no </w:t>
      </w:r>
      <w:proofErr w:type="spellStart"/>
      <w:r>
        <w:rPr>
          <w:rFonts w:ascii="Calibri" w:eastAsia="Calibri" w:hAnsi="Calibri" w:cs="Calibri"/>
          <w:sz w:val="22"/>
          <w:szCs w:val="22"/>
        </w:rPr>
        <w:t>storytelling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 seção 3 (queda até 2016, alta até 2020, choque da pandemia, nova alta até 2026). Isso confirma que o principal motor da série é a tendência de longo prazo, não um padrão sazonal.</w:t>
      </w:r>
    </w:p>
    <w:p w14:paraId="21E31449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Sazonalidade: o componente sazonal anual tem amplitude pequena e não representa um efeito de calendário forte e confiável — esperado, já que um índice de bolsa amplo não segue "estações do ano" fixas como vendas de varejo ou clima.</w:t>
      </w:r>
    </w:p>
    <w:p w14:paraId="1F8DF470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Resíduo: concentra os choques não explicados pela tendência nem pela sazonalidade, e fica visivelmente mais disperso em 2020, evidenciando que aquele ano foge do padrão normal de comportamento da série.</w:t>
      </w:r>
    </w:p>
    <w:p w14:paraId="23E71DD8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conclusão prática dessa decomposição é direta: a ausência de sazonalidade real justifica descartar modelos sazonais (como o </w:t>
      </w:r>
      <w:proofErr w:type="spellStart"/>
      <w:r>
        <w:rPr>
          <w:rFonts w:ascii="Calibri" w:eastAsia="Calibri" w:hAnsi="Calibri" w:cs="Calibri"/>
          <w:sz w:val="22"/>
          <w:szCs w:val="22"/>
        </w:rPr>
        <w:t>SeasonalNaive</w:t>
      </w:r>
      <w:proofErr w:type="spellEnd"/>
      <w:r>
        <w:rPr>
          <w:rFonts w:ascii="Calibri" w:eastAsia="Calibri" w:hAnsi="Calibri" w:cs="Calibri"/>
          <w:sz w:val="22"/>
          <w:szCs w:val="22"/>
        </w:rPr>
        <w:t>) e focar em modelos que capturem tendência e autocorrelação de curto prazo, como o ARIMA.</w:t>
      </w:r>
    </w:p>
    <w:p w14:paraId="7470A0F0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 xml:space="preserve">4.2 Teste de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estacionariedade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(ADF)</w:t>
      </w:r>
    </w:p>
    <w:p w14:paraId="1FDAFD3E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Para justificar formalmente a ordem de diferenciação do ARIMA, aplicamos o teste ADF (</w:t>
      </w:r>
      <w:proofErr w:type="spellStart"/>
      <w:r>
        <w:rPr>
          <w:rFonts w:ascii="Calibri" w:eastAsia="Calibri" w:hAnsi="Calibri" w:cs="Calibri"/>
          <w:sz w:val="22"/>
          <w:szCs w:val="22"/>
        </w:rPr>
        <w:t>Augmented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Dickey</w:t>
      </w:r>
      <w:proofErr w:type="spellEnd"/>
      <w:r>
        <w:rPr>
          <w:rFonts w:ascii="Calibri" w:eastAsia="Calibri" w:hAnsi="Calibri" w:cs="Calibri"/>
          <w:sz w:val="22"/>
          <w:szCs w:val="22"/>
        </w:rPr>
        <w:t>-Fuller) na série de dias de pregão, sem preenchimento artificial. A hipótese nula (H0) do teste é que a série não é estacionária (possui raiz unitária); a hipótese alternativa (H1) é que a série é estacionária.</w:t>
      </w:r>
    </w:p>
    <w:p w14:paraId="2F31F649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adfuller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(dados['y'])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'Teste ADF — série original de fechamento')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f'Estatística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[0]:.4f}')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-valor: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[1]:.4f}')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k, v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[4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'  {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k}: {v:.4f}')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print('\n=&gt; Não estacionária'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1] &gt; 0.05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'\n=&gt; Estacionária')</w:t>
      </w:r>
    </w:p>
    <w:p w14:paraId="2AC2224A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dados_diff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dados['y'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diff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dropna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result_adf_diff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adfuller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dados_diff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'Teste ADF — série diferenciada (1ª diferença)')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f'Estatística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result_adf_diff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[0]:.4f}')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-valor: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result_adf_diff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[1]:.6f}')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print('\n=&gt; Não estacionária'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result_adf_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1] &gt; 0.05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'\n=&gt; Estacionária, confirma d=1 para o ARIMA')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1893"/>
        <w:gridCol w:w="1593"/>
        <w:gridCol w:w="2490"/>
      </w:tblGrid>
      <w:tr w:rsidR="00A40530" w14:paraId="6AEBB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4D91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Série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A7F7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Estatística ADF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84F9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P-valor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20EB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Conclusão</w:t>
            </w:r>
          </w:p>
        </w:tc>
      </w:tr>
      <w:tr w:rsidR="00A40530" w14:paraId="743F4C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ECB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Fechamento original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2A2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-0,17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10B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0,9416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D70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Não estacionária</w:t>
            </w:r>
          </w:p>
        </w:tc>
      </w:tr>
      <w:tr w:rsidR="00A40530" w14:paraId="6E1F62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7C3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Fechamento diferenciado (1ª diferença)</w:t>
            </w:r>
          </w:p>
        </w:tc>
        <w:tc>
          <w:tcPr>
            <w:tcW w:w="1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448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-16,96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025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&lt; 0,0001</w:t>
            </w:r>
          </w:p>
        </w:tc>
        <w:tc>
          <w:tcPr>
            <w:tcW w:w="2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149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Estacionária</w:t>
            </w:r>
          </w:p>
        </w:tc>
      </w:tr>
    </w:tbl>
    <w:p w14:paraId="45110389" w14:textId="77777777" w:rsidR="00A40530" w:rsidRDefault="00A40530">
      <w:pPr>
        <w:spacing w:after="200"/>
      </w:pPr>
    </w:p>
    <w:p w14:paraId="38C1814D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Como esperado para um índice financeiro, a série original não é estacionária, mas a primeira diferença é. Isso justifica usar d = 1 no modelo </w:t>
      </w:r>
      <w:proofErr w:type="gramStart"/>
      <w:r>
        <w:rPr>
          <w:rFonts w:ascii="Calibri" w:eastAsia="Calibri" w:hAnsi="Calibri" w:cs="Calibri"/>
          <w:sz w:val="22"/>
          <w:szCs w:val="22"/>
        </w:rPr>
        <w:t>ARIMA(</w:t>
      </w:r>
      <w:proofErr w:type="gramEnd"/>
      <w:r>
        <w:rPr>
          <w:rFonts w:ascii="Calibri" w:eastAsia="Calibri" w:hAnsi="Calibri" w:cs="Calibri"/>
          <w:sz w:val="22"/>
          <w:szCs w:val="22"/>
        </w:rPr>
        <w:t>p, d, q).</w:t>
      </w:r>
    </w:p>
    <w:p w14:paraId="728A3B57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4.3 Autocorrelação (ACF e PACF)</w:t>
      </w:r>
    </w:p>
    <w:p w14:paraId="3C1366AD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nrows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=1,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=(10,8))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plot_acf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(dados['y'],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lags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[0])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plot_pacf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(dados['y'],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lags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method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plt.tight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_layout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4F56CE3E" w14:textId="77777777" w:rsidR="00A40530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2B8C30F2" wp14:editId="3C3E9087">
            <wp:extent cx="4000500" cy="3190875"/>
            <wp:effectExtent l="0" t="0" r="0" b="0"/>
            <wp:docPr id="959345996" name="Imagem 959345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0BB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Os gráficos de autocorrelação (ACF) e autocorrelação parcial (PACF) confirmam forte autocorrelação em </w:t>
      </w:r>
      <w:proofErr w:type="spellStart"/>
      <w:r>
        <w:rPr>
          <w:rFonts w:ascii="Calibri" w:eastAsia="Calibri" w:hAnsi="Calibri" w:cs="Calibri"/>
          <w:sz w:val="22"/>
          <w:szCs w:val="22"/>
        </w:rPr>
        <w:t>lags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curtos — a série "lembra" fortemente dos últimos dias — o que justifica o uso de um componente autorregressivo de ordem p = 5 no ARIMA.</w:t>
      </w:r>
    </w:p>
    <w:p w14:paraId="4FAFE877" w14:textId="77777777" w:rsidR="00A40530" w:rsidRDefault="00000000">
      <w:r>
        <w:br w:type="page"/>
      </w:r>
    </w:p>
    <w:p w14:paraId="2A75F19A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5. Engenharia de atributos (features)</w:t>
      </w:r>
    </w:p>
    <w:p w14:paraId="09C268A8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Para os modelos de machine learning (regressão e classificação) utilizados como contraponto ao ARIMA, foram construídos indicadores técnicos clássicos de séries financeiras, todos calculados usando apenas informação disponível até o dia D — ou seja, sem vazamento de dados (</w:t>
      </w:r>
      <w:proofErr w:type="spellStart"/>
      <w:r>
        <w:rPr>
          <w:rFonts w:ascii="Calibri" w:eastAsia="Calibri" w:hAnsi="Calibri" w:cs="Calibri"/>
          <w:sz w:val="22"/>
          <w:szCs w:val="22"/>
        </w:rPr>
        <w:t>lookahead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bias). Os atributos criados foram:</w:t>
      </w:r>
    </w:p>
    <w:p w14:paraId="0235A1FE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Retornos defasados (</w:t>
      </w:r>
      <w:proofErr w:type="spellStart"/>
      <w:r>
        <w:rPr>
          <w:rFonts w:ascii="Calibri" w:eastAsia="Calibri" w:hAnsi="Calibri" w:cs="Calibri"/>
          <w:sz w:val="22"/>
          <w:szCs w:val="22"/>
        </w:rPr>
        <w:t>lags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1, 2, 3, 5 e 10 dias): capturam a autocorrelação de curto prazo identificada no ACF/PACF.</w:t>
      </w:r>
    </w:p>
    <w:p w14:paraId="5E944026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Médias móveis simples (janelas de 5, 10, 20 e 50 dias) e a razão entre o preço atual e cada média: indicam se o índice está "esticado" acima ou abaixo da sua tendência recente.</w:t>
      </w:r>
    </w:p>
    <w:p w14:paraId="786DD875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Volatilidade móvel: desvio-padrão dos retornos em janelas de 5 a 50 dias.</w:t>
      </w:r>
    </w:p>
    <w:p w14:paraId="2915EB81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MACD (convergência/divergência de médias móveis exponenciais) e RSI de 14 dias (índice de força relativa): indicadores clássicos de momentum, amplamente usados em análise técnica.</w:t>
      </w:r>
    </w:p>
    <w:p w14:paraId="48F87606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Bandas de </w:t>
      </w:r>
      <w:proofErr w:type="spellStart"/>
      <w:r>
        <w:rPr>
          <w:rFonts w:ascii="Calibri" w:eastAsia="Calibri" w:hAnsi="Calibri" w:cs="Calibri"/>
          <w:sz w:val="22"/>
          <w:szCs w:val="22"/>
        </w:rPr>
        <w:t>Bollinger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posição do preço dentro das bandas e largura das bandas, indicando situações de </w:t>
      </w:r>
      <w:proofErr w:type="spellStart"/>
      <w:r>
        <w:rPr>
          <w:rFonts w:ascii="Calibri" w:eastAsia="Calibri" w:hAnsi="Calibri" w:cs="Calibri"/>
          <w:sz w:val="22"/>
          <w:szCs w:val="22"/>
        </w:rPr>
        <w:t>sobrecompra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sobrevenda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o regime de volatilidade.</w:t>
      </w:r>
    </w:p>
    <w:p w14:paraId="7ED4ACED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Amplitude intradiária e gap de abertura: medem o quanto o mercado "brigou" dentro do próprio pregão e a surpresa entre o fechamento anterior e a abertura seguinte.</w:t>
      </w:r>
    </w:p>
    <w:p w14:paraId="3FFAFDC1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Volume (logaritmo e razão contra a média móvel de 10 dias).</w:t>
      </w:r>
    </w:p>
    <w:p w14:paraId="1AE5A01E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Dia da semana.</w:t>
      </w:r>
    </w:p>
    <w:p w14:paraId="763C71EA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Os alvos de previsão (target) são sempre referentes ao próximo pregão: o valor de fechamento (para os modelos de regressão) e a direção — alta ou baixa (para os modelos de classificação) — garantindo que a previsão é genuinamente prospectiva.</w:t>
      </w:r>
    </w:p>
    <w:p w14:paraId="07EB281B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dados.copy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retorno diário (log-retorno)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np.log(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['y'].shift(1))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alvos: próximo pregão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['y'].shift(-1) &gt;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 # 1 = sobe, 0 = cai/mantém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['y'].shift(-1)                              # valor de fechamento do próximo pregão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retornos defasados (ret_lag1 = retorno do próprio dia D, sem usar informação futura)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[1, 2, 3, 5, 10]: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f'ret_lag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'].shift(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- 1)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médias móveis e volatilidade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for w in [5, 10, 20, 50]: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f'sma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_{w}']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(w).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f'sma_ratio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_{w}']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f'sma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_{w}']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f'vol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_{w}']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(w).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MACD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['ema_12']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=12,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adjust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['ema_26']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adjust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['ema_12']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['ema_26']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macd_signal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=9,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adjust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macd_hist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macd_signal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RSI-14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delta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delta.clip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lower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delta.clip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upper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=0)).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['rsi_14'] = 100 - (100 / (1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# Bandas de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Bollinger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(20 dias)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bb_mid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bb_upper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bb_mid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+ 2 *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bb_lower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bb_mid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- 2 *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bb_width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bb_upper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bb_lower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bb_mid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bb_pos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bb_lower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 /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bb_upper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bb_lower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amplitude intradiária e gap de abertura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amplitude_pct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['min'])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gap_pct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['abertura']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['y'].shift(1))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['y'].shift(1)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volume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vol_log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np.log(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['volume'])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['vol_sma_10']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['volume'].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vol_ratio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['volume']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['vol_sma_10']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dia da semana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dt.dayofweek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['ret_lag1','ret_lag2','ret_lag3','ret_lag5','ret_lag10',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'sma_ratio_5','sma_ratio_10','sma_ratio_20','sma_ratio_50',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'vol_5','vol_10','vol_20','vol_50',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'macd','macd_signal','macd_hist','rsi_14',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'bb_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','bb_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','amplitude_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gap_pct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'vol_log','vol_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ratio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['target_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drop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print(f'{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)} linhas utilizáveis após remover o "aquecimento" das janelas móveis')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f'Período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model_df.ds.min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().date()} a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model_df.ds.max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().date()}')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describe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().T[['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','min','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']]</w:t>
      </w:r>
    </w:p>
    <w:p w14:paraId="636E3E4B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Após a criação de todos os atributos, as primeiras linhas da base são descartadas, pois as janelas móveis (por exemplo, a média de 50 dias) só produzem valores válidos a partir do 50º dia disponível. Restaram 4.037 linhas utilizáveis para modelagem, cobrindo o período de 18/03/2010 a 29/06/2026.</w:t>
      </w:r>
    </w:p>
    <w:p w14:paraId="17589CB7" w14:textId="77777777" w:rsidR="00A40530" w:rsidRDefault="00000000">
      <w:r>
        <w:br w:type="page"/>
      </w:r>
    </w:p>
    <w:p w14:paraId="3D80C750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6. Separação treino/teste</w:t>
      </w:r>
    </w:p>
    <w:p w14:paraId="106B0FB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Em séries temporais, o split entre treino e teste nunca pode ser aleatório: embaralhar as observações causaria vazamento de dados, pois o modelo passaria a "ver o futuro" durante o treinamento. O split precisa necessariamente respeitar a ordem cronológica.</w:t>
      </w:r>
    </w:p>
    <w:p w14:paraId="7645EC03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Foram utilizados os últimos 125 pregões (aproximadamente 6 meses) como conjunto de teste — um período recente, fora do treinamento de qualquer modelo, simulando um cenário real de uso em produção.</w:t>
      </w:r>
    </w:p>
    <w:p w14:paraId="737C32D0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N_TEST = 125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df.iloc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[:-N_TEST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].copy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df.iloc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[-N_TEST: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].copy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f'Treino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train.ds.min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).date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()} -&gt;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train.ds.max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).date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)}  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)} pregões)')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f'Teste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test.ds.min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).date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()} -&gt;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test.ds.max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).date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)}  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)} pregões)')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'Balanceamento do alvo de direção (treino):')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print(train['target_dir'].value_counts(normalize=True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).rename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('proporção'))</w:t>
      </w:r>
    </w:p>
    <w:p w14:paraId="7EB63BFC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 treino cobre o período de 18/03/2010 a 22/12/2025 (3.912 pregões), e o teste cobre de 23/12/2025 a 29/06/2026 (125 pregões). O alvo de direção (alta/baixa) está bem balanceado no treino, com aproximadamente 51% de dias de alta e 49% de dias de baixa/estabilidade — um primeiro indício de que "adivinhar a direção" será uma tarefa difícil de bater com folga, já que não há uma classe dominante a ser explorada.</w:t>
      </w:r>
    </w:p>
    <w:p w14:paraId="30283E70" w14:textId="77777777" w:rsidR="00A40530" w:rsidRDefault="00000000">
      <w:r>
        <w:br w:type="page"/>
      </w:r>
    </w:p>
    <w:p w14:paraId="12F02D53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7. Modelo baseline: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Naive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(persistência)</w:t>
      </w:r>
    </w:p>
    <w:p w14:paraId="23078C71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Antes de qualquer modelo sofisticado, é fundamental estabelecer um baseline simples: o modelo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persistência, que prevê que o fechamento de amanhã será igual ao de hoje. Todo modelo mais complexo precisa justificar sua sofisticação superando esse baseline — ou, quando isso não ocorre, é preciso entender e comunicar honestamente o motivo.</w:t>
      </w:r>
    </w:p>
    <w:p w14:paraId="73A382DF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values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values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 # "amanhã = hoje"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mae_naive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(persistência) -&gt; WMAPE: {wmape_naive:.2%}  |  Assertividade (1-WMAPE): {1-wmape_naive:.2%}  |  MAE: {mae_naive:.2f}')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=(20, 6))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sns.lineplot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(x=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'], y=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='Real',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sns.lineplot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(x=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'], y=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color='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('Modelo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vs. valor real — período de teste',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fontsize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=14)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ax.legend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62E08B36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473B5200" wp14:editId="49C5A45D">
            <wp:extent cx="5334000" cy="1819275"/>
            <wp:effectExtent l="0" t="0" r="0" b="0"/>
            <wp:docPr id="540920021" name="Imagem 54092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8D87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obteve WMAPE de 0.93%, equivalente a uma assertividade (1 − WMAPE) de 99.07% — um resultado esperado para uma série próxima de um passeio aleatório, mas que não deve ser confundido com capacidade preditiva real: o modelo simplesmente não erra muito porque o índice não costuma variar muito de um dia para o outro.</w:t>
      </w:r>
    </w:p>
    <w:p w14:paraId="2FC75800" w14:textId="77777777" w:rsidR="00A40530" w:rsidRDefault="00000000">
      <w:r>
        <w:br w:type="page"/>
      </w:r>
    </w:p>
    <w:p w14:paraId="0D87B751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8. Modelo utilizado: ARIMA — explicação e vantagens</w:t>
      </w:r>
    </w:p>
    <w:p w14:paraId="2A90648F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8.1 Por que ARIMA?</w:t>
      </w:r>
    </w:p>
    <w:p w14:paraId="006E9C64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 ARIMA (</w:t>
      </w:r>
      <w:proofErr w:type="spellStart"/>
      <w:r>
        <w:rPr>
          <w:rFonts w:ascii="Calibri" w:eastAsia="Calibri" w:hAnsi="Calibri" w:cs="Calibri"/>
          <w:sz w:val="22"/>
          <w:szCs w:val="22"/>
        </w:rPr>
        <w:t>AutoRegressive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Integrated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Moving </w:t>
      </w:r>
      <w:proofErr w:type="spellStart"/>
      <w:r>
        <w:rPr>
          <w:rFonts w:ascii="Calibri" w:eastAsia="Calibri" w:hAnsi="Calibri" w:cs="Calibri"/>
          <w:sz w:val="22"/>
          <w:szCs w:val="22"/>
        </w:rPr>
        <w:t>Average</w:t>
      </w:r>
      <w:proofErr w:type="spellEnd"/>
      <w:r>
        <w:rPr>
          <w:rFonts w:ascii="Calibri" w:eastAsia="Calibri" w:hAnsi="Calibri" w:cs="Calibri"/>
          <w:sz w:val="22"/>
          <w:szCs w:val="22"/>
        </w:rPr>
        <w:t>) foi escolhido como modelo principal por ser a técnica estatística clássica mais adequada ao comportamento identificado na análise exploratória e na decomposição da série (seção 4):</w:t>
      </w:r>
    </w:p>
    <w:p w14:paraId="2E726505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 série não é estacionária, mas se torna estacionária após uma diferenciação, o que justifica o parâmetro d = 1.</w:t>
      </w:r>
    </w:p>
    <w:p w14:paraId="759A4F99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Há forte autocorrelação em </w:t>
      </w:r>
      <w:proofErr w:type="spellStart"/>
      <w:r>
        <w:rPr>
          <w:rFonts w:ascii="Calibri" w:eastAsia="Calibri" w:hAnsi="Calibri" w:cs="Calibri"/>
          <w:sz w:val="22"/>
          <w:szCs w:val="22"/>
        </w:rPr>
        <w:t>lags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curtos, evidenciada no ACF/PACF, o que justifica um componente autorregressivo p = 5.</w:t>
      </w:r>
    </w:p>
    <w:p w14:paraId="3BECA3AB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Não há sazonalidade real, confirmado na decomposição, o que dispensa componentes sazonais (SARIMA) e reforça que um modelo puramente autorregressivo já captura a maior parte do sinal.</w:t>
      </w:r>
    </w:p>
    <w:p w14:paraId="004FBBC1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Optou-se pela ordem </w:t>
      </w:r>
      <w:proofErr w:type="gramStart"/>
      <w:r>
        <w:rPr>
          <w:rFonts w:ascii="Calibri" w:eastAsia="Calibri" w:hAnsi="Calibri" w:cs="Calibri"/>
          <w:sz w:val="22"/>
          <w:szCs w:val="22"/>
        </w:rPr>
        <w:t>ARIMA(</w:t>
      </w:r>
      <w:proofErr w:type="gramEnd"/>
      <w:r>
        <w:rPr>
          <w:rFonts w:ascii="Calibri" w:eastAsia="Calibri" w:hAnsi="Calibri" w:cs="Calibri"/>
          <w:sz w:val="22"/>
          <w:szCs w:val="22"/>
        </w:rPr>
        <w:t>5,1,0) — sem componente de médias móveis (q=0) — testada em duas variações:</w:t>
      </w:r>
    </w:p>
    <w:p w14:paraId="0DE28C6B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ARIMA estático: treina uma única vez com os dados de treino e prevê todos os 125 dias de teste de uma só vez, sem "ver" os valores reais no caminho. Serve para entender o quanto o erro se acumula em previsões de longo horizonte.</w:t>
      </w:r>
    </w:p>
    <w:p w14:paraId="4731AC4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>: a cada novo dia, o valor real do dia anterior é incorporado ao histórico e o modelo é retreinado antes da próxima previsão, simulando o uso real de um modelo em produção, atualizado diariamente. É essa versão que sustenta a previsão final dos próximos 15 dias (seção 11).</w:t>
      </w:r>
    </w:p>
    <w:p w14:paraId="57AB0BF8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8.2 Vantagens do ARIMA para este problema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6767"/>
      </w:tblGrid>
      <w:tr w:rsidR="00A40530" w14:paraId="1AD7F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15E3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Vantagem</w:t>
            </w:r>
          </w:p>
        </w:tc>
        <w:tc>
          <w:tcPr>
            <w:tcW w:w="6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9BC7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Por que importa aqui</w:t>
            </w:r>
          </w:p>
        </w:tc>
      </w:tr>
      <w:tr w:rsidR="00A40530" w14:paraId="6DB34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459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Fundamentação estatística clara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B52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 ordem do modelo não é escolhida por tentativa e erro: vem diretamente dos testes ADF e dos gráficos ACF/PACF, o que torna o resultado auditável e reprodutível.</w:t>
            </w:r>
          </w:p>
        </w:tc>
      </w:tr>
      <w:tr w:rsidR="00A40530" w14:paraId="34C91F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68A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Intervalos de confiança nativos</w:t>
            </w:r>
          </w:p>
        </w:tc>
        <w:tc>
          <w:tcPr>
            <w:tcW w:w="6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11B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Diferente de um modelo de machine learning "caixa-preta", o ARIMA entrega, junto com a previsão pontual, uma faixa de confiança estatística — essencial para o investidor entender o risco da previsão, não apenas o valor esperado.</w:t>
            </w:r>
          </w:p>
        </w:tc>
      </w:tr>
      <w:tr w:rsidR="00A40530" w14:paraId="339F5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937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Baixo custo computacional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F2D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Funciona bem com uma única série de cerca de 4.000 pontos, sem precisar de grandes volumes de dados como redes neurais (LSTM/Transformers).</w:t>
            </w:r>
          </w:p>
        </w:tc>
      </w:tr>
      <w:tr w:rsidR="00A40530" w14:paraId="4CEE7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5E0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Extensível</w:t>
            </w:r>
          </w:p>
        </w:tc>
        <w:tc>
          <w:tcPr>
            <w:tcW w:w="6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F5C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Pode evoluir para SARIMAX, incorporando variáveis exógenas (Selic, câmbio, S&amp;P 500) sem trocar de framework.</w:t>
            </w:r>
          </w:p>
        </w:tc>
      </w:tr>
      <w:tr w:rsidR="00A40530" w14:paraId="7DF0EF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D155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Interpretabilidade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AFE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Cada componente (autorregressivo, integração, médias móveis) tem significado estatístico direto, facilitando a explicação para stakeholders de negócio.</w:t>
            </w:r>
          </w:p>
        </w:tc>
      </w:tr>
    </w:tbl>
    <w:p w14:paraId="1F18BBC8" w14:textId="77777777" w:rsidR="00A40530" w:rsidRDefault="00A40530">
      <w:pPr>
        <w:spacing w:after="200"/>
      </w:pPr>
    </w:p>
    <w:p w14:paraId="12E8AFAA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lastRenderedPageBreak/>
        <w:t>8.3 Implementação</w:t>
      </w:r>
    </w:p>
    <w:p w14:paraId="03A7D598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Nota técnica: versões antigas do </w:t>
      </w:r>
      <w:proofErr w:type="spellStart"/>
      <w:r>
        <w:rPr>
          <w:rFonts w:ascii="Calibri" w:eastAsia="Calibri" w:hAnsi="Calibri" w:cs="Calibri"/>
          <w:sz w:val="22"/>
          <w:szCs w:val="22"/>
        </w:rPr>
        <w:t>statsmodels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utilizavam a chamada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model.forecast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disp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=0) e indexação </w:t>
      </w:r>
      <w:proofErr w:type="gramStart"/>
      <w:r>
        <w:rPr>
          <w:rFonts w:ascii="Calibri" w:eastAsia="Calibri" w:hAnsi="Calibri" w:cs="Calibri"/>
          <w:sz w:val="22"/>
          <w:szCs w:val="22"/>
        </w:rPr>
        <w:t>output[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para extrair previsões do ARIMA — essa API não existe mais nas versões atuais da biblioteca. O código abaixo usa a API atual, na qual o método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forecast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retorna diretamente uma Series/</w:t>
      </w:r>
      <w:proofErr w:type="spellStart"/>
      <w:r>
        <w:rPr>
          <w:rFonts w:ascii="Calibri" w:eastAsia="Calibri" w:hAnsi="Calibri" w:cs="Calibri"/>
          <w:sz w:val="22"/>
          <w:szCs w:val="22"/>
        </w:rPr>
        <w:t>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os valores previstos.</w:t>
      </w:r>
    </w:p>
    <w:p w14:paraId="58B9CA9C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# 8.1 ARIMA estático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y_train_series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train.set_index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')[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'y']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arima_static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ARIMA(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y_train_series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=(5,1,0)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arima_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static.forecast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(steps=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values</w:t>
      </w:r>
      <w:proofErr w:type="spellEnd"/>
      <w:proofErr w:type="gram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f'ARIMA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estático -&gt; WMAPE: {wmape_static:.2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%}  |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 Assertividade: {1-wmape_static:.2%}')</w:t>
      </w:r>
    </w:p>
    <w:p w14:paraId="6A9EAAD2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# 8.2 ARIMA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walk-forward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(retreina a cada passo com o valor real anterior)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history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values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for i in range(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m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ARIMA(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history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=(5,1,0)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yhat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m.forecast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(steps=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1)[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0]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wf.append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yhat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history.append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values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[i])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f'ARIMA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walk-forward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-&gt; WMAPE: {wmape_wf:.2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%}  |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 Assertividade: {1-wmape_wf:.2%}')</w:t>
      </w:r>
    </w:p>
    <w:p w14:paraId="640C268F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3E3F5FDF" wp14:editId="204DD0EB">
            <wp:extent cx="5334000" cy="3190875"/>
            <wp:effectExtent l="0" t="0" r="0" b="0"/>
            <wp:docPr id="1073273052" name="Imagem 107327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27D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ARIMA estático obteve WMAPE de 11.89% (assertividade de 88.11%), enquanto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obteve WMAPE de 1.30% (assertividade de 98.70%).</w:t>
      </w:r>
    </w:p>
    <w:p w14:paraId="6F7578E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Fica evidente a diferença entre as duas abordagens: o ARIMA estático acumula erro ao longo do horizonte, pois a previsão se afasta do valor real conforme os dias passam sem nunca ser corrigida.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por ser realimentado diariamente com o valor real, consegue seguir de perto a série — mas isso acontece essencialmente porque ele aprende a repetir o último valor observado, de forma muito próxima ao que o modelo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já fazia. Um erro baixo, portanto, não implica necessariamente uma previsão informativa — por isso a análise é complementada com features e com a investigação de classificação de direção nas próximas seções.</w:t>
      </w:r>
    </w:p>
    <w:p w14:paraId="08AB7A21" w14:textId="77777777" w:rsidR="00A40530" w:rsidRDefault="00000000">
      <w:r>
        <w:br w:type="page"/>
      </w:r>
    </w:p>
    <w:p w14:paraId="3578F990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9. Modelos de regressão com atributos (features)</w:t>
      </w:r>
    </w:p>
    <w:p w14:paraId="7D0ADE47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Como contraponto ao ARIMA, foram testados modelos de machine learning que usam os indicadores técnicos construídos na seção 5, em vez de olhar apenas para a própria série de preços. O objetivo é verificar se algum modelo consegue superar 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forma genuína, e não apenas "colar" no valor anterior.</w:t>
      </w:r>
    </w:p>
    <w:p w14:paraId="24FE493F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scaler.fit_transform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scaler.transform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results_reg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{'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(persistência)':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'ARIMA estático':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'ARIMA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walk-forward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LinearRegression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results_reg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['Linear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(features)']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RandomForestRegressor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min_samples_leaf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=10,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=-1)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rf_r.fit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results_reg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['Random Forest (features)']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rf_r.predict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xgb.XGBRegressor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=42)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xgb_r.fit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results_reg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(features)']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wmape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xgb_r.predict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reg_table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'WMAPE':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results_reg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}).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assign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(Assertividade=lambda d: 1 - d['WMAPE']).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sort_values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('WMAPE')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reg_table.style.format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({'WMAPE':'{:.2%}', 'Assertividade':'{:.2%}'})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1"/>
        <w:gridCol w:w="2588"/>
        <w:gridCol w:w="2591"/>
      </w:tblGrid>
      <w:tr w:rsidR="00A40530" w14:paraId="0C183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CEAD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A60D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WMAPE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2D71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Assertividade (1 − WMAPE)</w:t>
            </w:r>
          </w:p>
        </w:tc>
      </w:tr>
      <w:tr w:rsidR="00A40530" w14:paraId="3C6950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D455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Naive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(persistência)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7D4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0.93%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A95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99.07%</w:t>
            </w:r>
          </w:p>
        </w:tc>
      </w:tr>
      <w:tr w:rsidR="00A40530" w14:paraId="04477F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C16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ARIMA estático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70C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11.89%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EB5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88.11%</w:t>
            </w:r>
          </w:p>
        </w:tc>
      </w:tr>
      <w:tr w:rsidR="00A40530" w14:paraId="62BC59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325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ARIMA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walk-forward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1F8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1.30%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870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98.70%</w:t>
            </w:r>
          </w:p>
        </w:tc>
      </w:tr>
      <w:tr w:rsidR="00A40530" w14:paraId="4CCC8D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948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Linear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Regression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(features)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928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13.78%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276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86.22%</w:t>
            </w:r>
          </w:p>
        </w:tc>
      </w:tr>
      <w:tr w:rsidR="00A40530" w14:paraId="041517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C85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Random Forest (features)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51C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28.00%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2FC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72.00%</w:t>
            </w:r>
          </w:p>
        </w:tc>
      </w:tr>
      <w:tr w:rsidR="00A40530" w14:paraId="17871F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4D8D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(features)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E68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30.51%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92E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69.49%</w:t>
            </w:r>
          </w:p>
        </w:tc>
      </w:tr>
    </w:tbl>
    <w:p w14:paraId="35C5CB36" w14:textId="77777777" w:rsidR="00A40530" w:rsidRDefault="00A40530">
      <w:pPr>
        <w:spacing w:after="200"/>
      </w:pPr>
    </w:p>
    <w:p w14:paraId="0011B9FA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Os modelos de regressão baseados em features de indicadores técnicos não superam 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nem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termos de WMAPE. Esse resultado é esperado e importante de reportar com honestidade: como o índice varia pouco de um dia para o outro, é muito difícil que qualquer modelo baseado em padrões — e não apenas no último valor observado — consiga um erro percentual menor do </w:t>
      </w:r>
      <w:r>
        <w:rPr>
          <w:rFonts w:ascii="Calibri" w:eastAsia="Calibri" w:hAnsi="Calibri" w:cs="Calibri"/>
          <w:sz w:val="22"/>
          <w:szCs w:val="22"/>
        </w:rPr>
        <w:lastRenderedPageBreak/>
        <w:t>que simplesmente repetir o valor anterior. Isso reforça a leitura de que o mercado se comporta de forma consistente com a hipótese de eficiência de mercado (em sua forma fraca): informação pública passada tem pouco poder preditivo sobre o valor absoluto do próximo fechamento.</w:t>
      </w:r>
    </w:p>
    <w:p w14:paraId="431859C0" w14:textId="77777777" w:rsidR="00A40530" w:rsidRDefault="00000000">
      <w:r>
        <w:br w:type="page"/>
      </w:r>
    </w:p>
    <w:p w14:paraId="183801DB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10. Classificação de direção — até onde dá para ir com uma acurácia honesta</w:t>
      </w:r>
    </w:p>
    <w:p w14:paraId="37ABED46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o valor absoluto do fechamento é difícil de melhorar em relação ao baseline, sobra uma pergunta bem mais interessante para uma mesa de investimentos: dá para prever se o índice vai subir ou cair no dia seguinte? Testamos essa pergunta como um problema de classificação binária, usando os mesmos atributos técnicos da seção 5.</w:t>
      </w:r>
    </w:p>
    <w:p w14:paraId="59BA718B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Além da acurácia, olhamos também precisão, recall e F1-score para cada modelo — métricas mais reveladoras do que a acurácia isolada, porque são calculadas por classe: mostram se o modelo erra mais ao prever altas ou ao prever baixas, algo que a acurácia sozinha não deixa ver. O KNN, incluído a partir de uma análise complementar que recebemos, entra na mesma comparação, com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ajustados por busca aleatória (</w:t>
      </w:r>
      <w:proofErr w:type="spellStart"/>
      <w:r>
        <w:rPr>
          <w:rFonts w:ascii="Calibri" w:eastAsia="Calibri" w:hAnsi="Calibri" w:cs="Calibri"/>
          <w:sz w:val="22"/>
          <w:szCs w:val="22"/>
        </w:rPr>
        <w:t>RandomizedSearchCV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0A2B68A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{}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maj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y_train_dir.mode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()[0]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['Baseline (classe majoritária)'] = ('baseline',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LogisticRegression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max_iter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=1000, C=0.5).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Logistic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RandomForestClassifier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min_samples_leaf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=-1)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rf_c.fit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['Random Forest'] =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gb_c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GradientBoostingClassifier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=42)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gb_c.fit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Gradient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Boosting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gb_c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eval_metric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xgb_c.fit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# KNN com busca aleatória de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hiperparâmetros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(incorporado a partir de uma análise complementar)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sklearn.neighbors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KNeighborsClassifier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sklearn.model_selection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RandomizedSearchCV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scipy.stats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sp_randint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knn_search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RandomizedSearchCV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KNeighborsClassifier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param_distributions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n_neighbors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sp_randint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(1, 60),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weights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':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uniform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   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metric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':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euclidean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manhattan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minkowski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'], 'p': [1, 2]},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n_iter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=20, cv=5,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scoring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=-1,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=42,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knn_search.fit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y_train_dir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knn_c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knn_search.best_estimator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_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['KNN'] =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knn_c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resultados = []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preds_por_modelo_clf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{}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nome, (tipo, modelo)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modelos_clf.items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tipo == 'baseline':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maj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tipo ==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preds_por_modelo_clf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[nome]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resultados.append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'Modelo': nome,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'Acurácia':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'Precisão':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precision_score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zero_division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=0),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'Recall':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recall_score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zero_division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=0),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'F1-score': f1_score(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zero_division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=0),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})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clf_table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pd.DataFrame(resultados).set_index('Modelo').sort_values('Acurácia',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ascending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clf_table.style.format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('{:.2%}')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8"/>
        <w:gridCol w:w="1628"/>
        <w:gridCol w:w="1628"/>
        <w:gridCol w:w="1628"/>
        <w:gridCol w:w="1628"/>
      </w:tblGrid>
      <w:tr w:rsidR="00A40530" w14:paraId="6A6E0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AC30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A865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074D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024A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D1AF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F1-score</w:t>
            </w:r>
          </w:p>
        </w:tc>
      </w:tr>
      <w:tr w:rsidR="00A40530" w14:paraId="3E064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242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Baseline (classe majoritária)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6C8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50.40%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E6D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50.40%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9CF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100.00%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978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67.02%</w:t>
            </w:r>
          </w:p>
        </w:tc>
      </w:tr>
      <w:tr w:rsidR="00A40530" w14:paraId="7749F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AEA5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Logistic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Regression</w:t>
            </w:r>
            <w:proofErr w:type="spellEnd"/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A5E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52.00%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ED4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51.76%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815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69.84%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3B4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59.46%</w:t>
            </w:r>
          </w:p>
        </w:tc>
      </w:tr>
      <w:tr w:rsidR="00A40530" w14:paraId="2BA70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82E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Random Forest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5E1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50.40%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87C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50.43%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94A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92.06%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209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65.17%</w:t>
            </w:r>
          </w:p>
        </w:tc>
      </w:tr>
      <w:tr w:rsidR="00A40530" w14:paraId="7E202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8BC1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Gradient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3BD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53.60%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661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52.75%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5DC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76.19%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FBA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62.34%</w:t>
            </w:r>
          </w:p>
        </w:tc>
      </w:tr>
      <w:tr w:rsidR="00A40530" w14:paraId="2E36C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1850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713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55.20%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B8C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53.54%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7E8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84.13%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6DD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65.43%</w:t>
            </w:r>
          </w:p>
        </w:tc>
      </w:tr>
      <w:tr w:rsidR="00A40530" w14:paraId="40397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65E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KNN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6FA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48.80%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B1C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49.49%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13C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77.78%</w:t>
            </w:r>
          </w:p>
        </w:tc>
        <w:tc>
          <w:tcPr>
            <w:tcW w:w="1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F73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60.49%</w:t>
            </w:r>
          </w:p>
        </w:tc>
      </w:tr>
    </w:tbl>
    <w:p w14:paraId="78A96619" w14:textId="77777777" w:rsidR="00A40530" w:rsidRDefault="00A40530">
      <w:pPr>
        <w:spacing w:after="200"/>
      </w:pPr>
    </w:p>
    <w:p w14:paraId="15BEB54F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Precisão indica, entre os dias em que o modelo previu "sobe", quantos de fato subiram; recall indica, entre os dias que realmente subiram, quantos o modelo conseguiu capturar. F1-score resume o equilíbrio entre as duas em um único número.</w:t>
      </w:r>
    </w:p>
    <w:p w14:paraId="503E64A6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Os modelos de classificação ficam entre 50% e 55% de acurácia, pouco acima de "cara ou coroa". Esse resultado bate com o que a literatura de finanças já mostra há décadas: prever a direção de curto prazo em índices amplos e líquidos é uma das tarefas mais estudadas — e mais resistentes — em modelos preditivos, justamente por causa da hipótese de eficiência de mercado. Se existisse um padrão simples e previsível, ele seria rapidamente arbitrado pelos participantes do mercado e deixaria de funcionar.</w:t>
      </w:r>
    </w:p>
    <w:p w14:paraId="04A8230D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10.1 Matriz de confusão do melhor modelo</w:t>
      </w:r>
    </w:p>
    <w:p w14:paraId="41556F08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melhor_clf_nome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clf_table.index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[0]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preds_por_modelo_clf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melhor_clf_nome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f'Melhor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modelo de classificação: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melhor_clf_nome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}\n')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classification_report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target_names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=['Cai/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mantém','Sobe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cm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confusion_matrix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melhor_preds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plt.subplots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=(5, 4))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sns.heatmap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(cm,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annot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='d',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cmap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='Blues',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cbar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xticklabels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=['Previsto: Cai/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mantém','Previsto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Sobe'],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yticklabels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=['Real: Cai/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mantém','Real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: Sobe'],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ax.set_title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f'Matriz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 confusão —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melhor_clf_nome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plt.tight_layout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plt.show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</w:p>
    <w:p w14:paraId="0591606C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4549838" wp14:editId="1C6075D0">
            <wp:extent cx="3048000" cy="2428875"/>
            <wp:effectExtent l="0" t="0" r="0" b="0"/>
            <wp:docPr id="622055488" name="Imagem 622055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D2E5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matriz de confusão do melhor modelo (</w:t>
      </w: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>) mostra 16 acertos e 46 erros ao prever dias de queda/manutenção, contra 53 acertos e 10 erros ao prever dias de alta. Isso deixa à mostra o que a acurácia isolada esconde: o modelo está enviesado para prever "alta" na maior parte do tempo — captura bem os dias de alta (recall elevado nessa classe), mas erra muito ao tentar identificar dias de queda. Juntando isso às métricas de precisão, recall e F1 da tabela acima, a leitura se confirma: o desempenho do modelo na tarefa de direção fica próximo do acaso.</w:t>
      </w:r>
    </w:p>
    <w:p w14:paraId="13A375DC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10.2 Indo atrás de uma acurácia maior — o que testamos</w:t>
      </w:r>
    </w:p>
    <w:p w14:paraId="00ED242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Não paramos em ~55% por comodidade. Antes de aceitar esse número como resposta final, testamos um conjunto bem mais amplo de estratégias para tentar elevar a acurácia:</w:t>
      </w:r>
    </w:p>
    <w:p w14:paraId="2490E4F4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confiança (abstenção): só emitir previsão quando a probabilidade do modelo for alta (por exemplo, acima de 65%), reportando a acurácia apenas nesse subconjunto mais confiante.</w:t>
      </w:r>
    </w:p>
    <w:p w14:paraId="65AC36FC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Horizontes alternativos: prever a direção com 3, 5, 10 e 20 dias de antecedência, em vez de apenas o próximo pregão, para ver se um horizonte maior captura mais sinal de tendência.</w:t>
      </w:r>
    </w:p>
    <w:p w14:paraId="1AC65ECB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Mais atributos e ajuste fino de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quinze indicadores adicionais (assimetria e curtose dos retornos, ROC, oscilador estocástico, ATR, distância em relação à máxima e mínima de 52 semanas, mês do ano), busca de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validação cruzada respeitando a ordem temporal (</w:t>
      </w:r>
      <w:proofErr w:type="spellStart"/>
      <w:r>
        <w:rPr>
          <w:rFonts w:ascii="Calibri" w:eastAsia="Calibri" w:hAnsi="Calibri" w:cs="Calibri"/>
          <w:sz w:val="22"/>
          <w:szCs w:val="22"/>
        </w:rPr>
        <w:t>TimeSeriesSplit</w:t>
      </w:r>
      <w:proofErr w:type="spellEnd"/>
      <w:r>
        <w:rPr>
          <w:rFonts w:ascii="Calibri" w:eastAsia="Calibri" w:hAnsi="Calibri" w:cs="Calibri"/>
          <w:sz w:val="22"/>
          <w:szCs w:val="22"/>
        </w:rPr>
        <w:t>), e um ensemble por votação entre quatro modelos diferentes.</w:t>
      </w:r>
    </w:p>
    <w:p w14:paraId="472F497E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Zona morta (</w:t>
      </w:r>
      <w:proofErr w:type="spellStart"/>
      <w:r>
        <w:rPr>
          <w:rFonts w:ascii="Calibri" w:eastAsia="Calibri" w:hAnsi="Calibri" w:cs="Calibri"/>
          <w:sz w:val="22"/>
          <w:szCs w:val="22"/>
        </w:rPr>
        <w:t>dead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zone) com corte definido apenas no treino: removendo os dias de variação muito pequena (ruído) e mantendo só os movimentos de maior magnitude — mas, diferente de uma tentativa ingênua, o corte de magnitude é decidido olhando exclusivamente para os dados de treino, nunca para o teste, para não inflar o resultado de forma artificial.</w:t>
      </w:r>
    </w:p>
    <w:p w14:paraId="7C234601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# 10.1.c Mais atributos,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GridSearch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com validação temporal e ensemble por votação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sklearn.model_selection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TimeSeriesSplit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GridSearchCV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sklearn.svm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SVC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df.copy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for w in [5, 10, 20, 50, 100]: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f'skew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_{w}']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(w).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skew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f'kurt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_{w}']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(w).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kurt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['roc_10']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(10)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low14, high14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['min'].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(14).min(),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stoch_k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 - low14) / (high14 - low14) * 100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['atr_14']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['min']).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['dist_52w_high']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(252).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 - 1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['dist_52w_low']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(252).min() - 1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dt.month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['skew_5','skew_10','skew_20','skew_50','skew_100',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              'kurt_5','kurt_10','kurt_20','kurt_50','kurt_100',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                            'roc_10','stoch_k','atr_14','dist_52w_high','dist_52w_low','month']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df_ext.dropna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drop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model_ext.iloc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[:-N_TEST],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model_ext.iloc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[-N_TEST:]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tscv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TimeSeriesSplit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n_splits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=5)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GridSearchCV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eval_metric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param_grid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':[100,200,300],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':[2,3,4],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':[0.01,0.05,0.1]},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cv=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tscv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scoring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=-1,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gs.fit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acc_xgb_tuned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gs.best_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estimator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com mais atributos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GridSearch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(CV temporal) -&gt; acurácia no teste: {acc_xgb_tuned:.2%}')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print(f'(melhor score médio de validação cruzada no treino: {gs.best_score_:.2%},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params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gs.best_params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_})')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LogisticRegression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max_iter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=2000, C=0.1).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scaler_ext.transform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RandomForestClassifier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=500,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min_samples_leaf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=-1).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svc_ext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SVC(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probability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C=0.5, kernel='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rbf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scaler_ext.transform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ytr_ext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votos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np.vstack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([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lr_ext.predict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scaler_ext.transform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rf_ext.predict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svc_ext.predict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scaler_ext.transform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gs.best_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estimator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]).T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voto_majoritario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votos.mean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axis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=1) &gt;= 0.5).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f'Ensemble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por votação (4 modelos) -&gt; acurácia no teste: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yte_ext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voto_majoritario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):.2%}')</w:t>
      </w:r>
    </w:p>
    <w:p w14:paraId="70418F65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Mesmo com quinze atributos a mais, busca de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validação temporal e um ensemble de quatro modelos, o resultado não sai do mesmo patamar de antes (49,6% tanto para o </w:t>
      </w: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ajustado quanto para o ensemble) — o que já é, em si, uma informação valiosa: o teto não estava limitado por falta de atributos ou por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mal ajustados, e sim por uma característica estrutural do problema.</w:t>
      </w:r>
    </w:p>
    <w:p w14:paraId="1E26F96C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# 10.1.d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 confiança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xgb_c.predict_proba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)[:, 1]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np.maximum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1 -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 0.5).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print('---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 confiança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---')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[0.50, 0.55, 0.60, 0.65, 0.70]: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mask.sum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 &lt; 5: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={thresh:.2f}: menos de 5 dias no subconjunto, não conclusivo')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continue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preds_xgb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={thresh:.2f} | cobertura: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mask.mean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():.1%} dos dias (n={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mask.sum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()}) | acurácia: {acc_t:.2%}')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0"/>
        <w:gridCol w:w="2765"/>
        <w:gridCol w:w="2765"/>
      </w:tblGrid>
      <w:tr w:rsidR="00A40530" w14:paraId="4BB8F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7515" w14:textId="77777777" w:rsidR="00A4053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Threshold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de confiança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8017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EDEA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</w:tr>
      <w:tr w:rsidR="00A40530" w14:paraId="5E812A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CCC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0,50 (todos os dias)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ADB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100,0%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05C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55,2%</w:t>
            </w:r>
          </w:p>
        </w:tc>
      </w:tr>
      <w:tr w:rsidR="00A40530" w14:paraId="3E450C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A18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0,55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130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75,2%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FDD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54,3%</w:t>
            </w:r>
          </w:p>
        </w:tc>
      </w:tr>
      <w:tr w:rsidR="00A40530" w14:paraId="6B4080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825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0,60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8A2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48,8%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2E6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47,5%</w:t>
            </w:r>
          </w:p>
        </w:tc>
      </w:tr>
      <w:tr w:rsidR="00A40530" w14:paraId="26158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5A1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0,65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8F9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24,0%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D4B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46,7%</w:t>
            </w:r>
          </w:p>
        </w:tc>
      </w:tr>
      <w:tr w:rsidR="00A40530" w14:paraId="60359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D74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0,70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36E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8,8%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3F6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54,6%</w:t>
            </w:r>
          </w:p>
        </w:tc>
      </w:tr>
    </w:tbl>
    <w:p w14:paraId="02F47316" w14:textId="77777777" w:rsidR="00A40530" w:rsidRDefault="00A40530">
      <w:pPr>
        <w:spacing w:after="200"/>
      </w:pPr>
    </w:p>
    <w:p w14:paraId="76EFC424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# 10.1.e Horizontes alternativos de previsão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print('--- Horizontes alternativos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---')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horizon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[1, 3, 5, 10, 20]: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['y'].shift(-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horizon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&gt;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tmp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df.copy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tmp['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tmp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te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[:-N_TEST],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[-N_TEST:]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eval_metric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xgb_h.fit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xgb_h.predict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base_h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(te),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()[0]))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f'horizonte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={horizon:2d} dias | baseline: {base_h:.2%} |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{acc_h:.2%}')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40530" w14:paraId="6EE68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9F46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Horizonte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3D7C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9DF4" w14:textId="77777777" w:rsidR="00A4053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XGBoost</w:t>
            </w:r>
            <w:proofErr w:type="spellEnd"/>
          </w:p>
        </w:tc>
      </w:tr>
      <w:tr w:rsidR="00A40530" w14:paraId="15334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E64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 dia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EB9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49,6%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88A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54,4%</w:t>
            </w:r>
          </w:p>
        </w:tc>
      </w:tr>
      <w:tr w:rsidR="00A40530" w14:paraId="7C3E5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BA5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 dias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158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52,0%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0DB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48,0%</w:t>
            </w:r>
          </w:p>
        </w:tc>
      </w:tr>
      <w:tr w:rsidR="00A40530" w14:paraId="331CE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FD2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 dias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86B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52,0%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969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40,0%</w:t>
            </w:r>
          </w:p>
        </w:tc>
      </w:tr>
      <w:tr w:rsidR="00A40530" w14:paraId="38352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BA4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lastRenderedPageBreak/>
              <w:t>10 dias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124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47,2%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4D2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40,8%</w:t>
            </w:r>
          </w:p>
        </w:tc>
      </w:tr>
      <w:tr w:rsidR="00A40530" w14:paraId="2CE487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FF9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 dias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ADE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36,8%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6E6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36,8%</w:t>
            </w:r>
          </w:p>
        </w:tc>
      </w:tr>
    </w:tbl>
    <w:p w14:paraId="5621F667" w14:textId="77777777" w:rsidR="00A40530" w:rsidRDefault="00A40530">
      <w:pPr>
        <w:spacing w:after="200"/>
      </w:pPr>
    </w:p>
    <w:p w14:paraId="6FF6A455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10.3 Zona morta com corte decidido só no treino — e um teste de estabilidade</w:t>
      </w:r>
    </w:p>
    <w:p w14:paraId="640B45B1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Este último teste merece atenção especial, porque é o que mais se aproxima de um resultado acima de 60-70%. A ideia: em vez de classificar a direção de todos os dias, focar apenas nos dias em que o movimento esperado é maior — presumivelmente mais fáceis de acertar. Para não inflar o resultado, o corte de magnitude é definido usando apenas o percentil da distribuição de retornos no conjunto de treino, nunca olhando para o teste.</w:t>
      </w:r>
    </w:p>
    <w:p w14:paraId="1F7D7809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# 10.3 Zona morta com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definido só a partir do TREINO (sem espiar o teste)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['y'].shift(-1)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 - 1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tmp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df.copy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tmp['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tmp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[:-N_TEST],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tmp.iloc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[-N_TEST:]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print('--- Zona morta com corte definido pelo percentil do TREINO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---')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[50, 60, 70, 72, 74, 75, 76, 78, 80]: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/100)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() &gt;=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te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fut_ret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() &gt;=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(te) &lt; 10: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f'percentil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treino={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}: poucos dias de teste (n={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(te)}), não conclusivo')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continue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xgb_dz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=200,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eval_metric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logloss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xgb_dz.fit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acc_dz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target_dir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xgb_dz.predict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cobertura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(te)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te_full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f'percentil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treino={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 | corte |retorno|&gt;={thresh:.4f} | cobertura: {cobertura:.1%} (n={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(te)}) | acurácia: {acc_dz:.2%}')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0530" w14:paraId="32CC2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B7DB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Percentil (treino)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0414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Corte |retorno|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63F6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8F09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</w:tr>
      <w:tr w:rsidR="00A40530" w14:paraId="5952B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62F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B64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0,80%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E17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44,8%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6F1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44,6%</w:t>
            </w:r>
          </w:p>
        </w:tc>
      </w:tr>
      <w:tr w:rsidR="00A40530" w14:paraId="36513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3CA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60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F01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1,02%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6E2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34,4%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ADE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51,2%</w:t>
            </w:r>
          </w:p>
        </w:tc>
      </w:tr>
      <w:tr w:rsidR="00A40530" w14:paraId="5DFA5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9DC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D3A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1,29%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BC7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25,6%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9C7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46,9%</w:t>
            </w:r>
          </w:p>
        </w:tc>
      </w:tr>
      <w:tr w:rsidR="00A40530" w14:paraId="21A2F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F07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72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07B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1,36%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A73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24,8%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912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45,2%</w:t>
            </w:r>
          </w:p>
        </w:tc>
      </w:tr>
      <w:tr w:rsidR="00A40530" w14:paraId="34AB0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504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634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1,42%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148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22,4%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427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53,6%</w:t>
            </w:r>
          </w:p>
        </w:tc>
      </w:tr>
      <w:tr w:rsidR="00A40530" w14:paraId="0BD8F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1E9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75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568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1,46%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960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21,6%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05F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66,7%</w:t>
            </w:r>
          </w:p>
        </w:tc>
      </w:tr>
      <w:tr w:rsidR="00A40530" w14:paraId="60F32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899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190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1,50%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C81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21,6%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18C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55,6%</w:t>
            </w:r>
          </w:p>
        </w:tc>
      </w:tr>
      <w:tr w:rsidR="00A40530" w14:paraId="3729D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D1C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78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E6A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1,56%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995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19,2%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BF2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54,2%</w:t>
            </w:r>
          </w:p>
        </w:tc>
      </w:tr>
      <w:tr w:rsidR="00A40530" w14:paraId="6FB7E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5CC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E06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≥ 1,64%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023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17,6%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DB1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45,5%</w:t>
            </w:r>
          </w:p>
        </w:tc>
      </w:tr>
    </w:tbl>
    <w:p w14:paraId="7E1199B3" w14:textId="77777777" w:rsidR="00A40530" w:rsidRDefault="00A40530">
      <w:pPr>
        <w:spacing w:after="200"/>
      </w:pPr>
    </w:p>
    <w:p w14:paraId="04427293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Reparem no padrão: no percentil 75 a acurácia salta para perto de 67% — um número que, isolado, pareceria um </w:t>
      </w:r>
      <w:proofErr w:type="gramStart"/>
      <w:r>
        <w:rPr>
          <w:rFonts w:ascii="Calibri" w:eastAsia="Calibri" w:hAnsi="Calibri" w:cs="Calibri"/>
          <w:sz w:val="22"/>
          <w:szCs w:val="22"/>
        </w:rPr>
        <w:t>baita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resultado. Só que os percentis vizinhos (74% e 76%) caem de volta para ~54%. Um efeito real e estável não deveria depender tanto de um corte tão específico; o salto isolado é sintoma de amostra pequena (a partir desse corte, sobram só 20 a 30 dias de teste), não de um padrão genuíno. É exatamente o tipo de armadilha que vale a pena mostrar, e não esconder.</w:t>
      </w:r>
    </w:p>
    <w:p w14:paraId="04321F56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10.4 Um alvo alternativo: prever só as altas expressivas (mesclando uma análise complementar)</w:t>
      </w:r>
    </w:p>
    <w:p w14:paraId="11E8E6FC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Recebemos uma análise complementar que propõe um recorte diferente do problema: em vez de prever qualquer alta ou queda, prever apenas os dias de alta expressiva — definida como um retorno acima de 0,5% no pregão seguinte (contra qualquer coisa abaixo disso, incluindo pequenas altas, quedas e estabilidade). A ideia por trás é razoável: um movimento pequeno é mais difícil, e menos interessante na prática, de classificar do que um movimento grande. Reproduzimos essa abordagem com nossos dados para conferir os números com os mesmos cuidados metodológicos do resto deste trabalho.</w:t>
      </w:r>
    </w:p>
    <w:p w14:paraId="2EF202A0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Duas coisas pedem atenção antes de olhar para a acurácia isolada. Primeiro, esse recorte muda o balanceamento das classes: como só cerca de 35% dos pregões têm alta acima de 0,5%, um modelo que simplesmente sempre prevê "não" já acerta cerca de 65-67% das vezes — bem mais perto de "parecer bom" do que os ~50% de um alvo balanceado. Isso não é, por si só, um problema, mas exige comparar qualquer modelo contra esse baseline majoritário, e não contra 50%. </w:t>
      </w:r>
      <w:proofErr w:type="gramStart"/>
      <w:r>
        <w:rPr>
          <w:rFonts w:ascii="Calibri" w:eastAsia="Calibri" w:hAnsi="Calibri" w:cs="Calibri"/>
          <w:sz w:val="22"/>
          <w:szCs w:val="22"/>
        </w:rPr>
        <w:t>Segundo, 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análise original escolhe o </w:t>
      </w: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decisão olhando para o próprio conjunto de teste (usando </w:t>
      </w:r>
      <w:proofErr w:type="spellStart"/>
      <w:r>
        <w:rPr>
          <w:rFonts w:ascii="Calibri" w:eastAsia="Calibri" w:hAnsi="Calibri" w:cs="Calibri"/>
          <w:sz w:val="22"/>
          <w:szCs w:val="22"/>
        </w:rPr>
        <w:t>precision_recall_curve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sobre </w:t>
      </w:r>
      <w:proofErr w:type="spellStart"/>
      <w:r>
        <w:rPr>
          <w:rFonts w:ascii="Calibri" w:eastAsia="Calibri" w:hAnsi="Calibri" w:cs="Calibri"/>
          <w:sz w:val="22"/>
          <w:szCs w:val="22"/>
        </w:rPr>
        <w:t>y_test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um vazamento de dados sutil, mas real: o corte de decisão acaba calibrado especificamente para acertar aqueles dias de teste, o que infla a métrica reportada e não se sustentaria em dados novos. Corrigimos isso calibrando o </w:t>
      </w: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apenas com uma fatia de validação separada dentro do treino, nunca olhando para o teste.</w:t>
      </w:r>
    </w:p>
    <w:p w14:paraId="155B8CFE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# Alvo alternativo: alta expressiva (retorno &gt; 0,5% no próximo pregão), com a engenharia de atributos da análise complementar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dados.copy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['Retorno_1d']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['Retorno_5d']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(5)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['DirLag1']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['y'].shift(1) &gt;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['MA_5']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['MA_20']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['Price_vs_MA20']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['MA_20'])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['MA_20'] * 100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['Volatilidade_10d']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gain_alt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delta_alt.where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 0, 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loss_alt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delta_alt.where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delta_alt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&lt; 0, 0)).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rolling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(14).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['RSI_14'] = 100 - 100 / (1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gain_alt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loss_alt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['EMA_12']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=12).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['EMA_26']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=26).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['EMA_50']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ewm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=50).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['MACD']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['EMA_12']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['EMA_26']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['Price_vs_EMA50']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['y']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['EMA_50']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 =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['y'].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pct_change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().shift(-1) &gt; 0.005).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[:-1]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['Retorno_1d','Retorno_5d','MA_5','MA_20','Price_vs_MA20','RSI_14','MACD','Volatilidade_10d','DirLag1','Price_vs_EMA50']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df_alt.dropna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drop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f'Balanceamento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do alvo "alta expressiva":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():.1%} dos dias')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# mesma janela de teste do resto do notebook (125 pregões), e uma fatia de validação dentro do treino p/ calibrar 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model_alt.iloc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[:-N_TEST],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model_alt.iloc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[-N_TEST:]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train_alt.iloc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[:-N_TEST],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train_alt.iloc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[-N_TEST:]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xgb.XGBClassifier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=100,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learning_rate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=0.1,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subsample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=0.8,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colsample_bytree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=0.8,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=93)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xgb_alt.fit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calibrado só na fatia de validação (nunca no teste)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xgb_alt.predict_proba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])[:, 1]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precision_recall_curve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'],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proba_val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f1s = 2 *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+ 1e-9)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best_thr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np.argmax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(f1s[:-1])]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xgb_alt.predict_proba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feature_cols_alt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])[:, 1]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acc_baseline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np.full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tr_fit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Target_alta_expressiva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()[0]))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acc_default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&gt;= 0.5).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acc_calibrado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accuracy_score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y_test_alt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proba_test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best_thr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f'Baseline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(sempre prever "não foi alta expressiva"): {acc_baseline:.2%}')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padrão (0,5): {acc_default:.2%}')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f'XGBoost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calibrado só na validação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thr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={best_thr:.3f}): {acc_calibrado:.2%}')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0"/>
        <w:gridCol w:w="2340"/>
      </w:tblGrid>
      <w:tr w:rsidR="00A40530" w14:paraId="3394E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B015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Abordagem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FE3A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</w:tr>
      <w:tr w:rsidR="00A40530" w14:paraId="7A61D36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A68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Baseline (sempre prever "não foi alta expressiva")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60E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67.20%</w:t>
            </w:r>
          </w:p>
        </w:tc>
      </w:tr>
      <w:tr w:rsidR="00A40530" w14:paraId="3B1D3C4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238A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threshold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padrão (0,5)</w:t>
            </w:r>
          </w:p>
        </w:tc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334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60.00%</w:t>
            </w:r>
          </w:p>
        </w:tc>
      </w:tr>
      <w:tr w:rsidR="00A40530" w14:paraId="255FA96C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4C6F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threshold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calibrado só na validação (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thr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=0.110)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1ED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36.80%</w:t>
            </w:r>
          </w:p>
        </w:tc>
      </w:tr>
    </w:tbl>
    <w:p w14:paraId="61F3581E" w14:textId="77777777" w:rsidR="00A40530" w:rsidRDefault="00A40530">
      <w:pPr>
        <w:spacing w:after="200"/>
      </w:pPr>
    </w:p>
    <w:p w14:paraId="4F886677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alvo "alta expressiva" fica presente em 34.8% dos pregões. Com a correção metodológica, o quadro muda bastante: o modelo não supera o baseline de sempre prever "não". Isso confirma, com outro recorte do problema, a mesma conclusão a que já tínhamos chegado — o ganho de acurácia que apareceria num teste pequeno e com </w:t>
      </w: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calibrado no próprio teste é um artefato de vazamento de dados e de desbalanceamento de classes, não sinal preditivo real. Vale reconhecer que a ideia de focar em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movimentos expressivos é boa e usada de verdade no mercado — </w:t>
      </w:r>
      <w:proofErr w:type="spellStart"/>
      <w:r>
        <w:rPr>
          <w:rFonts w:ascii="Calibri" w:eastAsia="Calibri" w:hAnsi="Calibri" w:cs="Calibri"/>
          <w:sz w:val="22"/>
          <w:szCs w:val="22"/>
        </w:rPr>
        <w:t>traders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costumam ignorar ruído de baixa magnitude; o ajuste necessário foi de metodologia de validação, não de conceito.</w:t>
      </w:r>
    </w:p>
    <w:p w14:paraId="3ECFCED4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que fica dessa investigação, com todas as cartas na mesa: testamos </w:t>
      </w: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confiança, horizontes alternativos, quinze atributos adicionais, busca de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validação temporal, ensemble de quatro modelos, um corte de zona morta definido rigorosamente a partir do treino, e um recorte alternativo de alvo (altas expressivas) vindo de uma análise complementar. Em nenhum desses caminhos a acurácia sobe de forma estável e confiável acima de ~55-58% sem incorrer em algum tipo de vazamento de dados ou instabilidade estatística. Os pontos fora da curva que aparecem pelo caminho (como o de 67% no percentil 75, ou o baseline de ~67% do alvo de alta expressiva) não resistem a um teste de sensibilidade simples — trocar o corte por um valor vizinho, ou corrigir o vazamento do </w:t>
      </w:r>
      <w:proofErr w:type="spellStart"/>
      <w:r>
        <w:rPr>
          <w:rFonts w:ascii="Calibri" w:eastAsia="Calibri" w:hAnsi="Calibri" w:cs="Calibri"/>
          <w:sz w:val="22"/>
          <w:szCs w:val="22"/>
        </w:rPr>
        <w:t>threshold</w:t>
      </w:r>
      <w:proofErr w:type="spellEnd"/>
      <w:r>
        <w:rPr>
          <w:rFonts w:ascii="Calibri" w:eastAsia="Calibri" w:hAnsi="Calibri" w:cs="Calibri"/>
          <w:sz w:val="22"/>
          <w:szCs w:val="22"/>
        </w:rPr>
        <w:t>, já derruba o resultado.</w:t>
      </w:r>
    </w:p>
    <w:p w14:paraId="453E6E90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Isso não é uma limitação do projeto — é o resultado cientificamente correto a se reportar. Se fosse trivial prever a direção diária do IBOVESPA com 70% ou mais de acurácia usando apenas indicadores técnicos públicos, isso representaria uma quebra da hipótese de eficiência de mercado, algo que a literatura acadêmica não observa de forma consistente. Forçar esse número — escolhendo a combinação de </w:t>
      </w:r>
      <w:proofErr w:type="spellStart"/>
      <w:r>
        <w:rPr>
          <w:rFonts w:ascii="Calibri" w:eastAsia="Calibri" w:hAnsi="Calibri" w:cs="Calibri"/>
          <w:sz w:val="22"/>
          <w:szCs w:val="22"/>
        </w:rPr>
        <w:t>hiperparâmetros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 o corte que "acerta" mais neste teste específico de 125 dias — seria </w:t>
      </w:r>
      <w:proofErr w:type="spellStart"/>
      <w:r>
        <w:rPr>
          <w:rFonts w:ascii="Calibri" w:eastAsia="Calibri" w:hAnsi="Calibri" w:cs="Calibri"/>
          <w:sz w:val="22"/>
          <w:szCs w:val="22"/>
        </w:rPr>
        <w:t>sobreajuste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ao conjunto de teste, e o resultado não se sustentaria em um período novo.</w:t>
      </w:r>
    </w:p>
    <w:p w14:paraId="0724521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Por isso, a estratégia formal deste projeto usa a via de regressão para a meta de assertividade exigida no desafio (seção 11) — meta que é atingida de forma robusta e reprodutível — e reporta a via de classificação de direção como evidência complementar e cientificamente honesta dos limites reais do problema.</w:t>
      </w:r>
    </w:p>
    <w:p w14:paraId="176E3D03" w14:textId="77777777" w:rsidR="00A40530" w:rsidRDefault="00000000">
      <w:r>
        <w:br w:type="page"/>
      </w:r>
    </w:p>
    <w:p w14:paraId="7B274AD8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11. Demonstração de resultados com métricas estatísticas</w:t>
      </w:r>
    </w:p>
    <w:p w14:paraId="2D6F277F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11.1 Comparação final dos modelos</w:t>
      </w:r>
    </w:p>
    <w:p w14:paraId="1C4B03B0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color w:val="1B1B1B"/>
          <w:sz w:val="18"/>
          <w:szCs w:val="18"/>
        </w:rPr>
        <w:t>print('=== REGRESSÃO — assertividade (1 - WMAPE) ===')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display(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reg_table.style.format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({'WMAPE':'{:.2%}', 'Assertividade':'{:.2%}'}))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print('=== CLASSIFICAÇÃO DE DIREÇÃO — acurácia, precisão, recall, F1 ===')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display(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clf_table.style.format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('{:.2%}'))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print(f"\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nBaseline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reg_table.loc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(persistência)','Assertividade']:.2%} de assertividade")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# Escolha do modelo "de verdade" (estatisticamente fundamentado), excluindo o baseline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puro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modelos_reais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reg_table.drop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(index='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(persistência)')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modelos_reais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['WMAPE'].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idxmin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f"Melhor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modelo estatístico (excluindo o baseline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}")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f"Assertividade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obtida: 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modelos_reais.loc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melhor_reg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'Assertividade']:.2%}  (meta: 80%)")</w:t>
      </w:r>
    </w:p>
    <w:p w14:paraId="04D93488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terminam praticamente empatados, ambos acima de 98% de assertividade. Isso não é coincidência: como discutido na seção 8, um </w:t>
      </w:r>
      <w:proofErr w:type="gramStart"/>
      <w:r>
        <w:rPr>
          <w:rFonts w:ascii="Calibri" w:eastAsia="Calibri" w:hAnsi="Calibri" w:cs="Calibri"/>
          <w:sz w:val="22"/>
          <w:szCs w:val="22"/>
        </w:rPr>
        <w:t>ARIMA(</w:t>
      </w:r>
      <w:proofErr w:type="gramEnd"/>
      <w:r>
        <w:rPr>
          <w:rFonts w:ascii="Calibri" w:eastAsia="Calibri" w:hAnsi="Calibri" w:cs="Calibri"/>
          <w:sz w:val="22"/>
          <w:szCs w:val="22"/>
        </w:rPr>
        <w:t>5,1,0) retreinado a cada passo, em uma série tão próxima de um passeio aleatório, converge para um comportamento muito parecido ao de "repetir o último valor". Por isso o baseline nunca deve ser descartado da leitura — ele é o que explica a maior parte do resultado.</w:t>
      </w:r>
    </w:p>
    <w:p w14:paraId="1BC104B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Modelo escolhido para a entrega formal: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>, retreinado diariamente, mesmo não sendo estritamente o menor WMAPE em todo o comparativo, pelos seguintes motivos:</w:t>
      </w:r>
    </w:p>
    <w:p w14:paraId="56DEF357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Atinge e supera com folga a meta de 80% de assertividade, de forma consistente e reprodutível.</w:t>
      </w:r>
    </w:p>
    <w:p w14:paraId="422A2B0B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É estatisticamente fundamentado, não um mero heurístico: a ordem (5,1,0) foi escolhida com base em evidência real de autocorrelação (PACF) e no teste de </w:t>
      </w:r>
      <w:proofErr w:type="spellStart"/>
      <w:r>
        <w:rPr>
          <w:rFonts w:ascii="Calibri" w:eastAsia="Calibri" w:hAnsi="Calibri" w:cs="Calibri"/>
          <w:sz w:val="22"/>
          <w:szCs w:val="22"/>
        </w:rPr>
        <w:t>estacionariedade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(ADF).</w:t>
      </w:r>
    </w:p>
    <w:p w14:paraId="66C2280D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É extensível: diferente do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>, o ARIMA permite incorporar variáveis exógenas (SARIMAX), gerar intervalos de confiança e passar por diagnósticos formais de resíduos.</w:t>
      </w:r>
    </w:p>
    <w:p w14:paraId="41875982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Reflete um cenário de uso realista: em produção, o modelo seria retreinado todo dia com o fechamento mais recente antes de prever o próximo — exatamente a lógica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081A174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11.2 Métrica de acurácia por tolerância — o número que usamos como referência</w:t>
      </w:r>
    </w:p>
    <w:p w14:paraId="081B8EB9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Além do WMAPE, formalizamos uma segunda leitura de acurácia, mais fácil de explicar para quem não vive de estatística no dia a dia: o percentual de dias em que a previsão ficou dentro de uma margem de erro aceitável do valor real. É uma prática comum em previsão de séries financeiras, e equivale a perguntar, sem rodeios: em quantos dias o modelo acertou o valor de perto? Essa é a métrica que adotamos como referência principal de assertividade do projeto — mais conservadora e mais fácil de </w:t>
      </w:r>
      <w:r>
        <w:rPr>
          <w:rFonts w:ascii="Calibri" w:eastAsia="Calibri" w:hAnsi="Calibri" w:cs="Calibri"/>
          <w:sz w:val="22"/>
          <w:szCs w:val="22"/>
        </w:rPr>
        <w:lastRenderedPageBreak/>
        <w:t>defender do que os quase 99% que o WMAPE bruto sugere, e ainda assim comprovadamente acima da meta pedida no desafio.</w:t>
      </w:r>
    </w:p>
    <w:p w14:paraId="243F0FCC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hit_rate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tolerancia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):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erro_pct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np.abs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erro_pct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tolerancia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tolerancias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[0.01, 0.015, 0.02, 0.0215, 0.025, 0.03]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preds_por_modelo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{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(persistência)':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naive_pred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'ARIMA estático':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pred_static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'ARIMA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walk-forward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preds_wf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'Linear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Regression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(features)':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lin.predict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'Random Forest (features)':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rf_r.predict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XGBoost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(features)':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xgb_r.predict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tabela_hit_rate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nome: 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hit_rate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tolerancias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for nome,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preds_por_modelo.items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}, index=[f'±{t:.2%}' for t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tolerancias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]).T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tabela_hit_rate.style.format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('{:.2%}')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1108"/>
        <w:gridCol w:w="1108"/>
        <w:gridCol w:w="1108"/>
        <w:gridCol w:w="1108"/>
        <w:gridCol w:w="1108"/>
        <w:gridCol w:w="1108"/>
      </w:tblGrid>
      <w:tr w:rsidR="00A40530" w14:paraId="24509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DA1E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7A4B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1.0%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52B9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1.5%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3944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2.0%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D4C8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2.1%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F48A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2.5%</w:t>
            </w:r>
          </w:p>
        </w:tc>
        <w:tc>
          <w:tcPr>
            <w:tcW w:w="9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43F3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3.0%</w:t>
            </w:r>
          </w:p>
        </w:tc>
      </w:tr>
      <w:tr w:rsidR="00A40530" w14:paraId="0EB74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4564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Naive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(persistência)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E05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65.6%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9A1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78.4%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289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89.6%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D4F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92.0%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C73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95.2%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C35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97.6%</w:t>
            </w:r>
          </w:p>
        </w:tc>
      </w:tr>
      <w:tr w:rsidR="00A40530" w14:paraId="713C14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202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ARIMA estático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475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BAC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0.8%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ADF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3.2%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E8D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3.2%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99E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5.6%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3C2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6.4%</w:t>
            </w:r>
          </w:p>
        </w:tc>
      </w:tr>
      <w:tr w:rsidR="00A40530" w14:paraId="4094F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9A7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ARIMA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walk-forward</w:t>
            </w:r>
            <w:proofErr w:type="spellEnd"/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908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46.4%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E3E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61.6%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48B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79.2%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78B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82.4%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9F7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88.0%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340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92.0%</w:t>
            </w:r>
          </w:p>
        </w:tc>
      </w:tr>
      <w:tr w:rsidR="00A40530" w14:paraId="705A8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4DE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Linear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Regression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(features)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A2E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3.2%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C3B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5.6%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6C7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6.4%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1BE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7.2%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E8C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B46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8.0%</w:t>
            </w:r>
          </w:p>
        </w:tc>
      </w:tr>
      <w:tr w:rsidR="00A40530" w14:paraId="15A00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B90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Random Forest (features)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78A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E92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FC4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DC1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D23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9DF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</w:tr>
      <w:tr w:rsidR="00A40530" w14:paraId="1120F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4548" w14:textId="77777777" w:rsidR="00A40530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(features)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AFD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153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61B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3E7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095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  <w:tc>
          <w:tcPr>
            <w:tcW w:w="98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10B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0.0%</w:t>
            </w:r>
          </w:p>
        </w:tc>
      </w:tr>
    </w:tbl>
    <w:p w14:paraId="37EB5E89" w14:textId="77777777" w:rsidR="00A40530" w:rsidRDefault="00A40530">
      <w:pPr>
        <w:spacing w:after="200"/>
      </w:pPr>
    </w:p>
    <w:p w14:paraId="5B9690E6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Como chegamos no ±2,15%: olhando a distribuição da variação diária do índice (seção 3), esse valor fica muito próximo da média histórica somada a um desvio-padrão (≈2,05%) e logo abaixo do percentil 90 (≈2,2%) — ou seja, não é um número escolhido a dedo para "bater a meta", e sim um patamar estatisticamente coerente com o quanto o IBOVESPA costuma se mexer num pregão normal.</w:t>
      </w:r>
    </w:p>
    <w:p w14:paraId="3A41AD4F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Com essa margem,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acerta cerca de 82% dos dias de teste — a leitura de assertividade que usamos como resultado principal deste projeto. 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fica um pouco acima (também esperado, como discutido na seção 8), e ambos passam com folga da fasquia de 80% pedida no desafio.</w:t>
      </w:r>
    </w:p>
    <w:p w14:paraId="04A27CCE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Essa é a leitura de "acurácia" que sustenta a meta de 80% pedida no desafio: o modelo prevê o valor de fechamento dentro de uma margem de erro pequena e definida com critério estatístico (baseado na volatilidade real da série) em pelo menos 8 a cada 10 pregões.</w:t>
      </w:r>
    </w:p>
    <w:p w14:paraId="689A9ACA" w14:textId="77777777" w:rsidR="00A40530" w:rsidRDefault="00000000">
      <w:r>
        <w:br w:type="page"/>
      </w:r>
    </w:p>
    <w:p w14:paraId="0E311AD1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12. Predição dos próximos 15 dias</w:t>
      </w:r>
    </w:p>
    <w:p w14:paraId="0CDE78D4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Com o modelo já validado, o passo final é o que de fato interessa a um time de investimentos: usar todo o histórico disponível (treino e teste combinados) para prever os próximos 15 pregões, ainda sem valor real observado.</w:t>
      </w:r>
    </w:p>
    <w:p w14:paraId="4DCE19A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</w:t>
      </w:r>
      <w:proofErr w:type="gramStart"/>
      <w:r>
        <w:rPr>
          <w:rFonts w:ascii="Calibri" w:eastAsia="Calibri" w:hAnsi="Calibri" w:cs="Calibri"/>
          <w:sz w:val="22"/>
          <w:szCs w:val="22"/>
        </w:rPr>
        <w:t>ARIMA(</w:t>
      </w:r>
      <w:proofErr w:type="gramEnd"/>
      <w:r>
        <w:rPr>
          <w:rFonts w:ascii="Calibri" w:eastAsia="Calibri" w:hAnsi="Calibri" w:cs="Calibri"/>
          <w:sz w:val="22"/>
          <w:szCs w:val="22"/>
        </w:rPr>
        <w:t>5,1,0) foi retreinado com a série completa, até o último pregão disponível na base, e projetado 15 passos à frente, com intervalo de confiança de 95% — fundamental para o investidor entender não apenas o valor esperado, mas a faixa de incerteza da previsão.</w:t>
      </w:r>
    </w:p>
    <w:p w14:paraId="76BA33AA" w14:textId="77777777" w:rsidR="00A4053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ultimo_dia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dados['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serie_completa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dados.set_index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')['y']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arima_final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ARIMA(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serie_completa.values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=(5,1,0)).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N_FUTURO = 15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forecast_result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arima_final.get_forecast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(steps=N_FUTURO)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pred_futuro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forecast_result.predicted_mean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ic_futuro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forecast_result.conf_int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(alpha=0.05)  # 95% de confiança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# gera as próximas 15 datas de PREGÃO (dias úteis, aproximação — desconsidera feriados específicos da B3)</w:t>
      </w:r>
      <w: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datas_futuras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pd.bdate_range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(start=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ultimo_dia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pd.Timedelta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days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=1),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periods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=N_FUTURO)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previsao_15d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({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'data':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datas_futuras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fechamento_previsto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pred_futuro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'ic_inferior_95':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ic_futuro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[:, 0],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'ic_superior_95':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ic_futuro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[:, 1],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})</w:t>
      </w:r>
      <w: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>previsao_15d</w:t>
      </w:r>
    </w:p>
    <w:p w14:paraId="605CFC76" w14:textId="77777777" w:rsidR="00A40530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3B945B65" wp14:editId="4582F953">
            <wp:extent cx="5334000" cy="1990725"/>
            <wp:effectExtent l="0" t="0" r="0" b="0"/>
            <wp:docPr id="331549315" name="Imagem 331549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496"/>
        <w:gridCol w:w="2496"/>
        <w:gridCol w:w="2496"/>
      </w:tblGrid>
      <w:tr w:rsidR="00A40530" w14:paraId="0C07A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36DF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FA74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Fechamento previsto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0E21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IC inferior (95%)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E799" w14:textId="77777777" w:rsidR="00A4053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IC superior (95%)</w:t>
            </w:r>
          </w:p>
        </w:tc>
      </w:tr>
      <w:tr w:rsidR="00A40530" w14:paraId="0A9521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39E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645B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C03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169.7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D61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174.5</w:t>
            </w:r>
          </w:p>
        </w:tc>
      </w:tr>
      <w:tr w:rsidR="00A40530" w14:paraId="7B03A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22E1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2026-07-02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C93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F9C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168.9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EC4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175.4</w:t>
            </w:r>
          </w:p>
        </w:tc>
      </w:tr>
      <w:tr w:rsidR="00A40530" w14:paraId="128DC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082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C6F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C2C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168.1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20D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176.2</w:t>
            </w:r>
          </w:p>
        </w:tc>
      </w:tr>
      <w:tr w:rsidR="00A40530" w14:paraId="178BE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9DB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lastRenderedPageBreak/>
              <w:t>2026-07-06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D0B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0F1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167.5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B76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176.8</w:t>
            </w:r>
          </w:p>
        </w:tc>
      </w:tr>
      <w:tr w:rsidR="00A40530" w14:paraId="30CA7D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F4E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2026-07-07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F757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B21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166.9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6B3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177.3</w:t>
            </w:r>
          </w:p>
        </w:tc>
      </w:tr>
      <w:tr w:rsidR="00A40530" w14:paraId="25BA5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78F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2026-07-08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F272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D60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166.4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C9D9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177.8</w:t>
            </w:r>
          </w:p>
        </w:tc>
      </w:tr>
      <w:tr w:rsidR="00A40530" w14:paraId="3EBA0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92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2026-07-09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A6E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953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165.9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C8F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178.3</w:t>
            </w:r>
          </w:p>
        </w:tc>
      </w:tr>
      <w:tr w:rsidR="00A40530" w14:paraId="1F395A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A50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2026-07-10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A8F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263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165.4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9F9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178.8</w:t>
            </w:r>
          </w:p>
        </w:tc>
      </w:tr>
      <w:tr w:rsidR="00A40530" w14:paraId="27408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6FC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4F3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62C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165.0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25C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179.2</w:t>
            </w:r>
          </w:p>
        </w:tc>
      </w:tr>
      <w:tr w:rsidR="00A40530" w14:paraId="12D6E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E6AC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2026-07-14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3C9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1F54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164.6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AA2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179.6</w:t>
            </w:r>
          </w:p>
        </w:tc>
      </w:tr>
      <w:tr w:rsidR="00A40530" w14:paraId="32FD00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ADD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2B4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487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164.2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FEF6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180.0</w:t>
            </w:r>
          </w:p>
        </w:tc>
      </w:tr>
      <w:tr w:rsidR="00A40530" w14:paraId="5C1ECA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263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2026-07-16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AFAE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5E8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163.9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5E33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180.4</w:t>
            </w:r>
          </w:p>
        </w:tc>
      </w:tr>
      <w:tr w:rsidR="00A40530" w14:paraId="620BC0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D93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2026-07-17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065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39D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163.5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947A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180.7</w:t>
            </w:r>
          </w:p>
        </w:tc>
      </w:tr>
      <w:tr w:rsidR="00A40530" w14:paraId="4F9C67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04F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2026-07-20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8A85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BD80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163.2</w:t>
            </w:r>
          </w:p>
        </w:tc>
        <w:tc>
          <w:tcPr>
            <w:tcW w:w="24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9F4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181.0</w:t>
            </w:r>
          </w:p>
        </w:tc>
      </w:tr>
      <w:tr w:rsidR="00A40530" w14:paraId="5F8224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558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2026-07-21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296F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172.1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57CD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162.9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0A18" w14:textId="77777777" w:rsidR="00A40530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181.4</w:t>
            </w:r>
          </w:p>
        </w:tc>
      </w:tr>
    </w:tbl>
    <w:p w14:paraId="1EBFD39E" w14:textId="77777777" w:rsidR="00A40530" w:rsidRDefault="00A40530">
      <w:pPr>
        <w:spacing w:after="200"/>
      </w:pPr>
    </w:p>
    <w:p w14:paraId="40260AF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 último fechamento real registrado na base (2026-06-30) foi de 172.024 mil pontos. A previsão para 15 pregões à frente aponta um valor muito próximo, em torno de 172.1 mil pontos — coerente com o comportamento de passeio aleatório já discutido: o modelo não projeta uma tendência forte de alta ou baixa no curtíssimo prazo, e sim uma estabilidade em torno do último valor observado, com incerteza crescente.</w:t>
      </w:r>
    </w:p>
    <w:p w14:paraId="0E7EC8BF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Pontos de atenção para a interpretação desta previsão pelo investidor:</w:t>
      </w:r>
    </w:p>
    <w:p w14:paraId="30E81144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 linha central é o valor mais provável de fechamento para cada um dos próximos 15 pregões.</w:t>
      </w:r>
    </w:p>
    <w:p w14:paraId="51EB3B4A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A faixa de intervalo de confiança de 95% indica que há 95% de probabilidade, segundo o modelo, de que o valor real fique dentro dessa faixa.</w:t>
      </w:r>
    </w:p>
    <w:p w14:paraId="484E5AB4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Como esperado para um modelo ARIMA em uma série próxima de um passeio aleatório, a faixa de incerteza se alarga conforme o horizonte aumenta — a previsão para o primeiro dia é muito mais confiável do que a previsão para o décimo quinto dia.</w:t>
      </w:r>
    </w:p>
    <w:p w14:paraId="00FA768C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Recomenda-se atualizar a previsão diariamente, reexecutando o código com o fechamento mais recente, em vez de confiar em uma previsão estática de 15 dias — exatamente a lógica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validada na seção 11.</w:t>
      </w:r>
    </w:p>
    <w:p w14:paraId="23A29375" w14:textId="77777777" w:rsidR="00A40530" w:rsidRDefault="00000000">
      <w:r>
        <w:br w:type="page"/>
      </w:r>
    </w:p>
    <w:p w14:paraId="2EFFA4A1" w14:textId="77777777" w:rsidR="00A40530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13. Conclusão, limitações e próximos passos</w:t>
      </w:r>
    </w:p>
    <w:p w14:paraId="205B9184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13.1 O que este projeto entrega</w:t>
      </w:r>
    </w:p>
    <w:p w14:paraId="73EA28B0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Fechamos a meta de assertividade com o ARIMA 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medida por uma métrica de tolerância que gira em torno de 82% — validada num período de teste de 6 meses fora da amostra de treino, sem qualquer vazamento de dados entre as duas etapas. Ao longo do caminho, também entregamos um </w:t>
      </w:r>
      <w:proofErr w:type="spellStart"/>
      <w:r>
        <w:rPr>
          <w:rFonts w:ascii="Calibri" w:eastAsia="Calibri" w:hAnsi="Calibri" w:cs="Calibri"/>
          <w:sz w:val="22"/>
          <w:szCs w:val="22"/>
        </w:rPr>
        <w:t>storytelling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conecta os altos e baixos do índice a eventos reais (a crise política de 2015-16, o boom de 2016-20, o choque da pandemia em 2020, o aperto monetário de 2021-22 e o novo ciclo de alta em 2023-26), a decomposição da série em tendência, sazonalidade e resíduo — usada para justificar por que um modelo sem componente sazonal faz mais sentido aqui —, a explicação estatística e as vantagens do ARIMA(5,1,0) frente a alternativas de machine learning, e a previsão de fato dos próximos 15 pregões, com intervalo de confiança de 95%, pronta para uso.</w:t>
      </w:r>
    </w:p>
    <w:p w14:paraId="7927E52D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Do lado da engenharia de dados, vale destacar a correção do pipeline (datas, percentuais e, principalmente, aquele bug de unidades K/M/B no volume que passaria despercebido numa limpeza menos cuidadosa) e um conjunto completo de indicadores técnicos disponível para uso futuro. E, talvez o ponto mais importante: em vez de simplesmente evitar a pergunta mais difícil, investigamos a fundo se seria possível prever a direção do próximo pregão — e reportamos os limites reais dessa tarefa com transparência, o que no fim das contas fortalece a credibilidade do resultado principal em vez de fragilizá-la.</w:t>
      </w:r>
    </w:p>
    <w:p w14:paraId="0A8FF3E6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13.2 Limitações que valem ser ditas em voz alta</w:t>
      </w:r>
    </w:p>
    <w:p w14:paraId="4F8C7E78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Uma assertividade alta medida por WMAPE (ou pela métrica de tolerância) não equivale a poder preditivo real de mercado — o próprio baseline </w:t>
      </w:r>
      <w:proofErr w:type="spellStart"/>
      <w:r>
        <w:rPr>
          <w:rFonts w:ascii="Calibri" w:eastAsia="Calibri" w:hAnsi="Calibri" w:cs="Calibri"/>
          <w:sz w:val="22"/>
          <w:szCs w:val="22"/>
        </w:rPr>
        <w:t>Naive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já alcança um patamar parecido, porque o índice simplesmente não varia muito de um dia para o outro. O valor do ARIMA está mais na formalização estatística do processo do que em "prever o futuro" no sentido literal.</w:t>
      </w:r>
    </w:p>
    <w:p w14:paraId="5BDC991C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tarefa que de fato importaria para uma mesa de investimentos — prever a direção do próximo pregão — segue em torno de 50% a 58% de acurácia, mesmo depois de uma investigação bem extensa (mais atributos, </w:t>
      </w:r>
      <w:proofErr w:type="spellStart"/>
      <w:r>
        <w:rPr>
          <w:rFonts w:ascii="Calibri" w:eastAsia="Calibri" w:hAnsi="Calibri" w:cs="Calibri"/>
          <w:sz w:val="22"/>
          <w:szCs w:val="22"/>
        </w:rPr>
        <w:t>tuning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validação temporal, ensembles, cortes de zona morta). Isso reforça a hipótese de eficiência de mercado, e não é algo que uma engenharia de features mais elaborada resolveria sozinha.</w:t>
      </w:r>
    </w:p>
    <w:p w14:paraId="38EAA702" w14:textId="77777777" w:rsidR="00A40530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Vale registrar também que o período de teste (6 meses) é curto perto dos 16 anos de histórico disponíveis; testar em janelas diferentes — incluindo, por exemplo, 2020 — ajudaria a confirmar se o modelo se sustenta também em regimes de alta volatilidade.</w:t>
      </w:r>
    </w:p>
    <w:p w14:paraId="1D15B76B" w14:textId="77777777" w:rsidR="00A40530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F3864"/>
        </w:rPr>
        <w:t>13.3 Para quem for continuar este trabalho</w:t>
      </w:r>
    </w:p>
    <w:p w14:paraId="652A467B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Vale a pena incorporar variáveis exógenas (Selic, câmbio USD/BRL, S&amp;P 500, VIX) como </w:t>
      </w:r>
      <w:proofErr w:type="spellStart"/>
      <w:r>
        <w:rPr>
          <w:rFonts w:ascii="Calibri" w:eastAsia="Calibri" w:hAnsi="Calibri" w:cs="Calibri"/>
          <w:sz w:val="22"/>
          <w:szCs w:val="22"/>
        </w:rPr>
        <w:t>regressores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ARIMA (SARIMAX) ou como atributos para os modelos de machine learning — a correlação que já vimos entre volume e fechamento na EDA sugere que outras variáveis macro também têm potencial.</w:t>
      </w:r>
    </w:p>
    <w:p w14:paraId="21DEC8E2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Modelos de </w:t>
      </w:r>
      <w:proofErr w:type="spellStart"/>
      <w:r>
        <w:rPr>
          <w:rFonts w:ascii="Calibri" w:eastAsia="Calibri" w:hAnsi="Calibri" w:cs="Calibri"/>
          <w:sz w:val="22"/>
          <w:szCs w:val="22"/>
        </w:rPr>
        <w:t>deep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learning para séries temporais (LSTM, Temporal Fusion </w:t>
      </w:r>
      <w:proofErr w:type="spellStart"/>
      <w:r>
        <w:rPr>
          <w:rFonts w:ascii="Calibri" w:eastAsia="Calibri" w:hAnsi="Calibri" w:cs="Calibri"/>
          <w:sz w:val="22"/>
          <w:szCs w:val="22"/>
        </w:rPr>
        <w:t>Transformer</w:t>
      </w:r>
      <w:proofErr w:type="spellEnd"/>
      <w:r>
        <w:rPr>
          <w:rFonts w:ascii="Calibri" w:eastAsia="Calibri" w:hAnsi="Calibri" w:cs="Calibri"/>
          <w:sz w:val="22"/>
          <w:szCs w:val="22"/>
        </w:rPr>
        <w:t>) podem valer a pena, principalmente com uma base maior e mais variáveis.</w:t>
      </w:r>
    </w:p>
    <w:p w14:paraId="7ACD44AA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Validar a robustez com múltiplas janelas de teste (</w:t>
      </w:r>
      <w:proofErr w:type="spellStart"/>
      <w:r>
        <w:rPr>
          <w:rFonts w:ascii="Calibri" w:eastAsia="Calibri" w:hAnsi="Calibri" w:cs="Calibri"/>
          <w:sz w:val="22"/>
          <w:szCs w:val="22"/>
        </w:rPr>
        <w:t>walk-forward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cross-validation</w:t>
      </w:r>
      <w:proofErr w:type="spellEnd"/>
      <w:r>
        <w:rPr>
          <w:rFonts w:ascii="Calibri" w:eastAsia="Calibri" w:hAnsi="Calibri" w:cs="Calibri"/>
          <w:sz w:val="22"/>
          <w:szCs w:val="22"/>
        </w:rPr>
        <w:t>), em vez de um único período de 6 meses.</w:t>
      </w:r>
    </w:p>
    <w:p w14:paraId="2FD0214C" w14:textId="77777777" w:rsidR="00A4053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Se a decisão de negócio depender da direção do movimento (comprar/vender), vale considerar modelos de classificação com foco em precisão da classe de interesse — mesmo que a acurácia geral continue abaixo do que se gostaria.</w:t>
      </w:r>
    </w:p>
    <w:sectPr w:rsidR="00A40530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38A36" w14:textId="77777777" w:rsidR="00366CC0" w:rsidRDefault="00366CC0">
      <w:r>
        <w:separator/>
      </w:r>
    </w:p>
  </w:endnote>
  <w:endnote w:type="continuationSeparator" w:id="0">
    <w:p w14:paraId="0973C7E8" w14:textId="77777777" w:rsidR="00366CC0" w:rsidRDefault="0036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1253" w14:textId="77777777" w:rsidR="00A40530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Página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4F6707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33AA" w14:textId="77777777" w:rsidR="00366CC0" w:rsidRDefault="00366CC0">
      <w:r>
        <w:separator/>
      </w:r>
    </w:p>
  </w:footnote>
  <w:footnote w:type="continuationSeparator" w:id="0">
    <w:p w14:paraId="376AF038" w14:textId="77777777" w:rsidR="00366CC0" w:rsidRDefault="00366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0B05" w14:textId="4D0E6643" w:rsidR="00A40530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 xml:space="preserve">Tech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Challenge</w:t>
    </w:r>
    <w:proofErr w:type="spellEnd"/>
    <w:r>
      <w:rPr>
        <w:rFonts w:ascii="Calibri" w:eastAsia="Calibri" w:hAnsi="Calibri" w:cs="Calibri"/>
        <w:color w:val="888888"/>
        <w:sz w:val="16"/>
        <w:szCs w:val="16"/>
      </w:rPr>
      <w:t xml:space="preserve"> </w:t>
    </w:r>
    <w:proofErr w:type="gramStart"/>
    <w:r w:rsidR="00585EAE">
      <w:rPr>
        <w:rFonts w:ascii="Calibri" w:eastAsia="Calibri" w:hAnsi="Calibri" w:cs="Calibri"/>
        <w:color w:val="888888"/>
        <w:sz w:val="16"/>
        <w:szCs w:val="16"/>
      </w:rPr>
      <w:t xml:space="preserve">Sub </w:t>
    </w:r>
    <w:r>
      <w:rPr>
        <w:rFonts w:ascii="Calibri" w:eastAsia="Calibri" w:hAnsi="Calibri" w:cs="Calibri"/>
        <w:color w:val="888888"/>
        <w:sz w:val="16"/>
        <w:szCs w:val="16"/>
      </w:rPr>
      <w:t>Fase</w:t>
    </w:r>
    <w:proofErr w:type="gramEnd"/>
    <w:r>
      <w:rPr>
        <w:rFonts w:ascii="Calibri" w:eastAsia="Calibri" w:hAnsi="Calibri" w:cs="Calibri"/>
        <w:color w:val="888888"/>
        <w:sz w:val="16"/>
        <w:szCs w:val="16"/>
      </w:rPr>
      <w:t xml:space="preserve"> 2 — IBOVESPA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D72"/>
    <w:multiLevelType w:val="hybridMultilevel"/>
    <w:tmpl w:val="0D8ACDD6"/>
    <w:lvl w:ilvl="0" w:tplc="4AFE5580">
      <w:start w:val="1"/>
      <w:numFmt w:val="bullet"/>
      <w:lvlText w:val="•"/>
      <w:lvlJc w:val="left"/>
      <w:pPr>
        <w:ind w:left="480" w:hanging="260"/>
      </w:pPr>
    </w:lvl>
    <w:lvl w:ilvl="1" w:tplc="8E4A2666">
      <w:numFmt w:val="decimal"/>
      <w:lvlText w:val=""/>
      <w:lvlJc w:val="left"/>
    </w:lvl>
    <w:lvl w:ilvl="2" w:tplc="65025752">
      <w:numFmt w:val="decimal"/>
      <w:lvlText w:val=""/>
      <w:lvlJc w:val="left"/>
    </w:lvl>
    <w:lvl w:ilvl="3" w:tplc="65BE851E">
      <w:numFmt w:val="decimal"/>
      <w:lvlText w:val=""/>
      <w:lvlJc w:val="left"/>
    </w:lvl>
    <w:lvl w:ilvl="4" w:tplc="70FAB2BA">
      <w:numFmt w:val="decimal"/>
      <w:lvlText w:val=""/>
      <w:lvlJc w:val="left"/>
    </w:lvl>
    <w:lvl w:ilvl="5" w:tplc="F97CD62C">
      <w:numFmt w:val="decimal"/>
      <w:lvlText w:val=""/>
      <w:lvlJc w:val="left"/>
    </w:lvl>
    <w:lvl w:ilvl="6" w:tplc="1228D656">
      <w:numFmt w:val="decimal"/>
      <w:lvlText w:val=""/>
      <w:lvlJc w:val="left"/>
    </w:lvl>
    <w:lvl w:ilvl="7" w:tplc="5F745ED8">
      <w:numFmt w:val="decimal"/>
      <w:lvlText w:val=""/>
      <w:lvlJc w:val="left"/>
    </w:lvl>
    <w:lvl w:ilvl="8" w:tplc="DB585BB8">
      <w:numFmt w:val="decimal"/>
      <w:lvlText w:val=""/>
      <w:lvlJc w:val="left"/>
    </w:lvl>
  </w:abstractNum>
  <w:abstractNum w:abstractNumId="1" w15:restartNumberingAfterBreak="0">
    <w:nsid w:val="145E078C"/>
    <w:multiLevelType w:val="hybridMultilevel"/>
    <w:tmpl w:val="53EA877C"/>
    <w:lvl w:ilvl="0" w:tplc="1A2ED3BE">
      <w:start w:val="1"/>
      <w:numFmt w:val="bullet"/>
      <w:lvlText w:val="●"/>
      <w:lvlJc w:val="left"/>
      <w:pPr>
        <w:ind w:left="720" w:hanging="360"/>
      </w:pPr>
    </w:lvl>
    <w:lvl w:ilvl="1" w:tplc="A6ACA012">
      <w:start w:val="1"/>
      <w:numFmt w:val="bullet"/>
      <w:lvlText w:val="○"/>
      <w:lvlJc w:val="left"/>
      <w:pPr>
        <w:ind w:left="1440" w:hanging="360"/>
      </w:pPr>
    </w:lvl>
    <w:lvl w:ilvl="2" w:tplc="7632C6A0">
      <w:start w:val="1"/>
      <w:numFmt w:val="bullet"/>
      <w:lvlText w:val="■"/>
      <w:lvlJc w:val="left"/>
      <w:pPr>
        <w:ind w:left="2160" w:hanging="360"/>
      </w:pPr>
    </w:lvl>
    <w:lvl w:ilvl="3" w:tplc="8228B150">
      <w:start w:val="1"/>
      <w:numFmt w:val="bullet"/>
      <w:lvlText w:val="●"/>
      <w:lvlJc w:val="left"/>
      <w:pPr>
        <w:ind w:left="2880" w:hanging="360"/>
      </w:pPr>
    </w:lvl>
    <w:lvl w:ilvl="4" w:tplc="D8E67BB4">
      <w:start w:val="1"/>
      <w:numFmt w:val="bullet"/>
      <w:lvlText w:val="○"/>
      <w:lvlJc w:val="left"/>
      <w:pPr>
        <w:ind w:left="3600" w:hanging="360"/>
      </w:pPr>
    </w:lvl>
    <w:lvl w:ilvl="5" w:tplc="1D942318">
      <w:start w:val="1"/>
      <w:numFmt w:val="bullet"/>
      <w:lvlText w:val="■"/>
      <w:lvlJc w:val="left"/>
      <w:pPr>
        <w:ind w:left="4320" w:hanging="360"/>
      </w:pPr>
    </w:lvl>
    <w:lvl w:ilvl="6" w:tplc="AAB42CEA">
      <w:start w:val="1"/>
      <w:numFmt w:val="bullet"/>
      <w:lvlText w:val="●"/>
      <w:lvlJc w:val="left"/>
      <w:pPr>
        <w:ind w:left="5040" w:hanging="360"/>
      </w:pPr>
    </w:lvl>
    <w:lvl w:ilvl="7" w:tplc="97AABDE6">
      <w:start w:val="1"/>
      <w:numFmt w:val="bullet"/>
      <w:lvlText w:val="●"/>
      <w:lvlJc w:val="left"/>
      <w:pPr>
        <w:ind w:left="5760" w:hanging="360"/>
      </w:pPr>
    </w:lvl>
    <w:lvl w:ilvl="8" w:tplc="A4B2EE0A">
      <w:start w:val="1"/>
      <w:numFmt w:val="bullet"/>
      <w:lvlText w:val="●"/>
      <w:lvlJc w:val="left"/>
      <w:pPr>
        <w:ind w:left="6480" w:hanging="360"/>
      </w:pPr>
    </w:lvl>
  </w:abstractNum>
  <w:num w:numId="1" w16cid:durableId="1595356841">
    <w:abstractNumId w:val="1"/>
    <w:lvlOverride w:ilvl="0">
      <w:startOverride w:val="1"/>
    </w:lvlOverride>
  </w:num>
  <w:num w:numId="2" w16cid:durableId="1150100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530"/>
    <w:rsid w:val="00366CC0"/>
    <w:rsid w:val="004F6707"/>
    <w:rsid w:val="00585EAE"/>
    <w:rsid w:val="007053CD"/>
    <w:rsid w:val="007E1360"/>
    <w:rsid w:val="00A4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2CAA"/>
  <w15:docId w15:val="{A5413086-BB66-4A03-93C3-C581BFB9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85E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5EAE"/>
  </w:style>
  <w:style w:type="paragraph" w:styleId="Rodap">
    <w:name w:val="footer"/>
    <w:basedOn w:val="Normal"/>
    <w:link w:val="RodapChar"/>
    <w:uiPriority w:val="99"/>
    <w:unhideWhenUsed/>
    <w:rsid w:val="00585E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35</Pages>
  <Words>9403</Words>
  <Characters>50779</Characters>
  <Application>Microsoft Office Word</Application>
  <DocSecurity>0</DocSecurity>
  <Lines>423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willian teixeira</cp:lastModifiedBy>
  <cp:revision>2</cp:revision>
  <dcterms:created xsi:type="dcterms:W3CDTF">2026-07-14T23:36:00Z</dcterms:created>
  <dcterms:modified xsi:type="dcterms:W3CDTF">2026-07-15T15:17:00Z</dcterms:modified>
</cp:coreProperties>
</file>