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rFonts w:ascii="Calibri" w:cs="Calibri" w:eastAsia="Calibri" w:hAnsi="Calibri"/>
          <w:b/>
          <w:bCs/>
          <w:color w:val="1F3864"/>
          <w:sz w:val="56"/>
          <w:szCs w:val="56"/>
        </w:rPr>
        <w:t xml:space="preserve">Previsão do Fechamento do IBOVESPA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444444"/>
          <w:sz w:val="28"/>
          <w:szCs w:val="28"/>
        </w:rPr>
        <w:t xml:space="preserve">Tech Challenge — Fase 2 — POSTECH Data Analytics</w:t>
      </w:r>
    </w:p>
    <w:p>
      <w:pPr>
        <w:spacing w:after="3000"/>
        <w:jc w:val="center"/>
      </w:pPr>
      <w:r>
        <w:rPr>
          <w:rFonts w:ascii="Calibri" w:cs="Calibri" w:eastAsia="Calibri" w:hAnsi="Calibri"/>
          <w:i/>
          <w:iCs/>
          <w:color w:val="666666"/>
          <w:sz w:val="24"/>
          <w:szCs w:val="24"/>
        </w:rPr>
        <w:t xml:space="preserve">Estratégia de dados, storytelling e modelo preditivo de séries temporais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Este documento descreve, passo a passo, toda a estratégia de dados construída para prever o fechamento diário do índice IBOVESPA, incluindo a explicação de cada etapa do código desenvolvido, as decisões técnicas tomadas e os resultados obtidos. O código completo e executável está disponível no notebook Jupyter que acompanha esta entrega.</w:t>
      </w:r>
    </w:p>
    <w:p>
      <w:r>
        <w:br w:type="page"/>
      </w:r>
    </w:p>
    <w:p>
      <w:pPr>
        <w:pStyle w:val="Heading1"/>
        <w:pBdr>
          <w:bottom w:val="single" w:color="1F3864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1. Objetivo e estratégia geral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 desafio proposto foi criar um modelo preditivo de séries temporais para o fechamento diário do IBOVESPA, com assertividade mínima de 80%, para ser utilizado como ferramenta de apoio à decisão de investidores. Antes de iniciar a modelagem, foi necessário definir com precisão o que significa "assertividade" para uma série financeira, pois essa definição molda toda a estratégia de dados.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 IBOVESPA se comporta como uma série muito próxima de um passeio aleatório (random walk): o valor de fechamento de um dia costuma ser muito parecido com o do dia anterior, e variações diárias acima de 2% são raras. Isso tem duas implicações diretas para a estratégia adotada: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sz w:val="22"/>
          <w:szCs w:val="22"/>
        </w:rPr>
        <w:t xml:space="preserve">Prever o valor de fechamento (regressão) é uma tarefa em que até um modelo ingênuo, que apenas repete o valor do dia anterior, já acerta com erro percentual baixo. Definimos formalmente a assertividade como 1 − WMAPE (Weighted Mean Absolute Percentage Error), e complementamos com uma métrica de acurácia por tolerância (percentual de dias em que a previsão ficou dentro de uma margem de erro do valor real).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sz w:val="22"/>
          <w:szCs w:val="22"/>
        </w:rPr>
        <w:t xml:space="preserve">Prever a direção do próximo pregão (alta ou baixa) é uma tarefa diferente e muito mais difícil, sendo o que de fato importaria para uma decisão de compra ou venda. Essa via foi testada como investigação complementar, de forma transparente, para enriquecer a análise e deixar claros os limites reais do problema.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entrega formal da meta de 80% de assertividade é resolvida pela via de regressão, com um modelo estatístico (ARIMA) validado corretamente, sem vazamento de dados entre treino e teste. A via de classificação de direção entra como uma camada extra de investigação crítica, que fortalece a credibilidade do projeto ao invés de enfraquecê-la.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1.1 Roteiro do documento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sz w:val="22"/>
          <w:szCs w:val="22"/>
        </w:rPr>
        <w:t xml:space="preserve">Leitura e limpeza dos dados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sz w:val="22"/>
          <w:szCs w:val="22"/>
        </w:rPr>
        <w:t xml:space="preserve">Storytelling — análise exploratória e contexto histórico dos picos de alta e baixa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sz w:val="22"/>
          <w:szCs w:val="22"/>
        </w:rPr>
        <w:t xml:space="preserve">Decomposição da série temporal e teste de estacionariedade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sz w:val="22"/>
          <w:szCs w:val="22"/>
        </w:rPr>
        <w:t xml:space="preserve">Engenharia de atributos (features)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sz w:val="22"/>
          <w:szCs w:val="22"/>
        </w:rPr>
        <w:t xml:space="preserve">Separação treino/teste respeitando a ordem temporal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sz w:val="22"/>
          <w:szCs w:val="22"/>
        </w:rPr>
        <w:t xml:space="preserve">Modelo baseline (Naive)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sz w:val="22"/>
          <w:szCs w:val="22"/>
        </w:rPr>
        <w:t xml:space="preserve">Modelo utilizado (ARIMA) — explicação e vantagens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sz w:val="22"/>
          <w:szCs w:val="22"/>
        </w:rPr>
        <w:t xml:space="preserve">Modelos de regressão com features — comparação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sz w:val="22"/>
          <w:szCs w:val="22"/>
        </w:rPr>
        <w:t xml:space="preserve">Classificação de direção — investigação complementar sobre a meta de 80% de acurácia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sz w:val="22"/>
          <w:szCs w:val="22"/>
        </w:rPr>
        <w:t xml:space="preserve">Demonstração de resultados com métricas estatísticas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sz w:val="22"/>
          <w:szCs w:val="22"/>
        </w:rPr>
        <w:t xml:space="preserve">Predição dos próximos 15 dias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sz w:val="22"/>
          <w:szCs w:val="22"/>
        </w:rPr>
        <w:t xml:space="preserve">Conclusão, limitações e próximos passos</w:t>
      </w:r>
    </w:p>
    <w:p>
      <w:r>
        <w:br w:type="page"/>
      </w:r>
    </w:p>
    <w:p>
      <w:pPr>
        <w:pStyle w:val="Heading1"/>
        <w:pBdr>
          <w:bottom w:val="single" w:color="1F3864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2. Leitura e limpeza dos dados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base de dados utilizada contém o histórico diário do IBOVESPA entre 04/01/2010 e 30/06/2026 (4.088 pregões), com as colunas de data, fechamento, abertura, máxima, mínima, volume negociado e variação percentual do dia. Antes de qualquer modelagem, quatro inconsistências no arquivo original precisaram ser corrigidas: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sz w:val="22"/>
          <w:szCs w:val="22"/>
        </w:rPr>
        <w:t xml:space="preserve">A coluna de data vinha como texto, no formato dia/mês/ano, e precisou ser convertida para um tipo de data reconhecido pelo pandas.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sz w:val="22"/>
          <w:szCs w:val="22"/>
        </w:rPr>
        <w:t xml:space="preserve">A coluna de variação percentual vinha como texto, com vírgula como separador decimal e o símbolo de porcentagem, precisando ser convertida para número.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sz w:val="22"/>
          <w:szCs w:val="22"/>
        </w:rPr>
        <w:t xml:space="preserve">A coluna de volume negociado mistura três unidades diferentes no mesmo texto: K (mil), M (milhão) e B (bilhão) — o volume negociado cresceu tanto ao longo dos 16 anos que a própria fonte de dados muda a unidade de medida conforme o período. Tratar isso de forma ingênua (por exemplo, dividindo por 1000 apenas os valores "grandes demais") geraria uma série de volume completamente distorcida, misturando milhões com bilhões como se fossem a mesma grandeza.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sz w:val="22"/>
          <w:szCs w:val="22"/>
        </w:rPr>
        <w:t xml:space="preserve">Havia uma única linha com valor nulo de volume, removida por não comprometer a representatividade da série.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 trecho de código abaixo realiza a leitura do arquivo CSV e todas as correções descritas. A função parse_volume separa o número da letra da unidade e aplica o multiplicador correto (mil, milhão ou bilhão), normalizando tudo para milhões de reais. Em seguida, a base é reordenada de forma ascendente por data, já que o arquivo original vem do pregão mais recente para o mais antigo — uma ordenação correta é essencial para qualquer modelo de série temporal.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00" w:before="100" w:line="2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path = 'dados_ibovespa_2010-2026.csv'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dados = pd.read_csv(path, parse_dates=[0], dayfirst=True)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dados.columns = ['ds', 'y', 'abertura', 'max', 'min', 'volume', 'variacao']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# Var%: vírgula -&gt; ponto, remove '%'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dados['variacao'] = (dados['variacao'].astype(str)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              .str.replace('%', '', regex=False)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              .str.replace(',', '.', regex=False)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              .astype(float))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# Volume: separa número da unidade (K/M/B) e normaliza tudo para MILHÕES de R$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def parse_volume(v):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if pd.isna(v):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return np.nan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v = str(v).strip()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unit = v[-1]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num = v[:-1].replace(',', '.')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mult = {'K': 1e3, 'M': 1e6, 'B': 1e9}.get(unit)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if mult is None: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return np.nan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return float(num) * mult / 1e6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dados['volume'] = dados['volume'].apply(parse_volume)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# remove a única linha com volume nulo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dados = dados.dropna(subset=['volume']).copy()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# a base vem ordenada do mais recente para o mais antigo -&gt; ordena ascendente (essencial p/ série temporal)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dados = dados.sort_values('ds').reset_index(drop=True)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print(f'Período: {dados.ds.min().date()} a {dados.ds.max().date()}  |  {len(dados)} pregões')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dados.head()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Após a limpeza, a base final possui o período de 2026-06-30 (última data disponível) com 4.088 pregões utilizáveis. O gráfico abaixo mostra o volume negociado já corrigido, evidenciando o crescimento real do volume ao longo dos anos — de poucos milhões de reais em 2010 a vários bilhões em 2026 — sem os saltos artificiais que apareceriam ao misturar as três unidades como se fossem a mesma escala.</w:t>
      </w:r>
    </w:p>
    <w:p>
      <w:pPr>
        <w:spacing w:after="150" w:before="150"/>
        <w:jc w:val="center"/>
      </w:pPr>
      <w:r>
        <w:drawing>
          <wp:inline distT="0" distB="0" distL="0" distR="0">
            <wp:extent cx="5334000" cy="1724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pBdr>
          <w:bottom w:val="single" w:color="1F3864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3. Storytelling e análise exploratória dos dados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Com os dados limpos, a primeira etapa de qualquer projeto de séries temporais é observar visualmente o comportamento da série antes de propor qualquer modelo. O código abaixo plota o fechamento diário do IBOVESPA ao longo de todo o período disponível.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00" w:before="100" w:line="2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fig, ax = plt.subplots(figsize=(20, 6))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sns.lineplot(dados, x='ds', y='y', ax=ax)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ax.set_title('Fechamento diário do IBOVESPA (2010–2026)', fontsize=14)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ax.set_ylabel('Índice (milhares de pontos)')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ax.set_xlabel('')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plt.show()</w:t>
      </w:r>
    </w:p>
    <w:p>
      <w:pPr>
        <w:spacing w:after="150" w:before="150"/>
        <w:jc w:val="center"/>
      </w:pPr>
      <w:r>
        <w:drawing>
          <wp:inline distT="0" distB="0" distL="0" distR="0">
            <wp:extent cx="5334000" cy="1733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série apresenta ciclos plurianuais bem marcados, sem qualquer padrão sazonal fixo — um comportamento típico de índices de bolsa. Para dar contexto de negócio a esses ciclos (o "storytelling" pedido no desafio), cada fase foi associada a eventos econômicos e políticos reais do Brasil e do mundo: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5200"/>
      </w:tblGrid>
      <w:tr>
        <w:trPr>
          <w:tblHeader/>
        </w:trPr>
        <w:tc>
          <w:tcPr>
            <w:tcW w:type="dxa" w:w="1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Período</w:t>
            </w:r>
          </w:p>
        </w:tc>
        <w:tc>
          <w:tcPr>
            <w:tcW w:type="dxa" w:w="2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Comportamento</w:t>
            </w:r>
          </w:p>
        </w:tc>
        <w:tc>
          <w:tcPr>
            <w:tcW w:type="dxa" w:w="5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Contexto</w:t>
            </w:r>
          </w:p>
        </w:tc>
      </w:tr>
      <w:tr>
        <w:tc>
          <w:tcPr>
            <w:tcW w:type="dxa" w:w="1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2010–2015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Queda / estagnação</w:t>
            </w:r>
          </w:p>
        </w:tc>
        <w:tc>
          <w:tcPr>
            <w:tcW w:type="dxa" w:w="5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Desaceleração da economia brasileira, deterioração fiscal e perda do grau de investimento do país.</w:t>
            </w:r>
          </w:p>
        </w:tc>
      </w:tr>
      <w:tr>
        <w:tc>
          <w:tcPr>
            <w:tcW w:type="dxa" w:w="16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2015–2016</w:t>
            </w:r>
          </w:p>
        </w:tc>
        <w:tc>
          <w:tcPr>
            <w:tcW w:type="dxa" w:w="26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Ponto de mínimo do período</w:t>
            </w:r>
          </w:p>
        </w:tc>
        <w:tc>
          <w:tcPr>
            <w:tcW w:type="dxa" w:w="52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Auge da crise política (processo de impeachment) e da recessão econômica — pico do pessimismo do mercado.</w:t>
            </w:r>
          </w:p>
        </w:tc>
      </w:tr>
      <w:tr>
        <w:tc>
          <w:tcPr>
            <w:tcW w:type="dxa" w:w="1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2016–2020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Forte tendência de alta</w:t>
            </w:r>
          </w:p>
        </w:tc>
        <w:tc>
          <w:tcPr>
            <w:tcW w:type="dxa" w:w="5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Reforma trabalhista, expectativa de reformas estruturais (previdência) e cenário global de juros baixos, atraindo capital para mercados emergentes.</w:t>
            </w:r>
          </w:p>
        </w:tc>
      </w:tr>
      <w:tr>
        <w:tc>
          <w:tcPr>
            <w:tcW w:type="dxa" w:w="16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Fev–Mar/2020</w:t>
            </w:r>
          </w:p>
        </w:tc>
        <w:tc>
          <w:tcPr>
            <w:tcW w:type="dxa" w:w="26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Queda mais rápida e intensa do período</w:t>
            </w:r>
          </w:p>
        </w:tc>
        <w:tc>
          <w:tcPr>
            <w:tcW w:type="dxa" w:w="52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Choque inicial da pandemia de Covid-19, com os "circuit breakers" (paralisações de pregão) mais frequentes da história da B3.</w:t>
            </w:r>
          </w:p>
        </w:tc>
      </w:tr>
      <w:tr>
        <w:tc>
          <w:tcPr>
            <w:tcW w:type="dxa" w:w="1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2020–2021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Recuperação em "V"</w:t>
            </w:r>
          </w:p>
        </w:tc>
        <w:tc>
          <w:tcPr>
            <w:tcW w:type="dxa" w:w="5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Estímulos monetários e fiscais em resposta à pandemia; migração de investidores de renda fixa para renda variável com a Selic em mínimas históricas.</w:t>
            </w:r>
          </w:p>
        </w:tc>
      </w:tr>
      <w:tr>
        <w:tc>
          <w:tcPr>
            <w:tcW w:type="dxa" w:w="16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2021–2022</w:t>
            </w:r>
          </w:p>
        </w:tc>
        <w:tc>
          <w:tcPr>
            <w:tcW w:type="dxa" w:w="26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Novo ciclo de queda / lateralização</w:t>
            </w:r>
          </w:p>
        </w:tc>
        <w:tc>
          <w:tcPr>
            <w:tcW w:type="dxa" w:w="52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Início do aperto monetário (alta da Selic) para conter a inflação pós-pandemia, somado à incerteza eleitoral.</w:t>
            </w:r>
          </w:p>
        </w:tc>
      </w:tr>
      <w:tr>
        <w:tc>
          <w:tcPr>
            <w:tcW w:type="dxa" w:w="1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2023–2026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Novo ciclo de alta, com recordes</w:t>
            </w:r>
          </w:p>
        </w:tc>
        <w:tc>
          <w:tcPr>
            <w:tcW w:type="dxa" w:w="5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Início do ciclo de corte de juros, fluxo de capital estrangeiro e resultados corporativos, levando o índice a patamares recordes ao final da série.</w:t>
            </w:r>
          </w:p>
        </w:tc>
      </w:tr>
    </w:tbl>
    <w:p>
      <w:pPr>
        <w:spacing w:after="200"/>
      </w:pPr>
    </w:p>
    <w:p>
      <w:pPr>
        <w:spacing w:after="20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Esse pano de fundo macroeconômico e político dá sentido às mudanças de regime identificadas na série, e reforça por que um modelo de séries temporais precisa ser reavaliado periodicamente: o comportamento estatístico do IBOVESPA muda de forma estrutural entre esses ciclos.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3.1 Variação diária e volatilidade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Em seguida, analisamos a variação percentual diária do índice, que evidencia os períodos de maior volatilidade.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00" w:before="100" w:line="2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fig, ax = plt.subplots(figsize=(20, 6))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sns.lineplot(dados, x='ds', y='variacao', ax=ax)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ax.axhline(y=0, color='red', linewidth=1)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ax.set_title('Variação diária do IBOVESPA (%)', fontsize=14)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ax.set_ylabel('Variação (%)')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ax.set_xlabel('')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plt.show()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print('Maiores variações (%):')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print(dados.nlargest(3, 'variacao')[['ds','variacao']])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print()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print('Menores variações (%):')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print(dados.nsmallest(3, 'variacao')[['ds','variacao']])</w:t>
      </w:r>
    </w:p>
    <w:p>
      <w:pPr>
        <w:spacing w:after="150" w:before="150"/>
        <w:jc w:val="center"/>
      </w:pPr>
      <w:r>
        <w:drawing>
          <wp:inline distT="0" distB="0" distL="0" distR="0">
            <wp:extent cx="5334000" cy="1733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Os picos de maior volatilidade ocorrem, como esperado, em março de 2020 (maior alta diária de 13,91% e maior queda diária de -14,78%, ambas na mesma semana). A maioria dos dias, porém, se concentra entre -2% e +2% de variação — um comportamento consistente com o que se espera de um índice amplo e líquido como o IBOVESPA. Essa faixa de variação típica (±2%) é usada mais adiante para definir uma margem de tolerância estatisticamente justificada para a métrica de acurácia.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3.2 Relação entre fechamento e volume negociado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00" w:before="100" w:line="2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corr = dados[['y','volume']].corr().iloc[0,1]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fig, ax = plt.subplots(figsize=(10, 6))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sns.regplot(dados, x='y', y='volume', ax=ax, scatter_kws={'alpha':0.3}, line_kws={'color':'red'})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ax.set_title(f'Fechamento x Volume negociado (correlação = {corr:.2f})', fontsize=14)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plt.show()</w:t>
      </w:r>
    </w:p>
    <w:p>
      <w:pPr>
        <w:spacing w:after="150" w:before="150"/>
        <w:jc w:val="center"/>
      </w:pPr>
      <w:r>
        <w:drawing>
          <wp:inline distT="0" distB="0" distL="0" distR="0">
            <wp:extent cx="5334000" cy="3371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correlação entre o nível do índice e o volume negociado é positiva, refletindo o crescimento conjunto do mercado de capitais brasileiro ao longo do período — mais participantes, mais liquidez e, consequentemente, um índice em patamares mais altos.</w:t>
      </w:r>
    </w:p>
    <w:p>
      <w:r>
        <w:br w:type="page"/>
      </w:r>
    </w:p>
    <w:p>
      <w:pPr>
        <w:pStyle w:val="Heading1"/>
        <w:pBdr>
          <w:bottom w:val="single" w:color="1F3864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4. Decomposição da série temporal e estacionariedade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4.1 Decomposição em tendência, sazonalidade e resíduo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Para decompor a série em seus componentes clássicos — tendência, sazonalidade e resíduo — é necessário que a série tenha uma frequência regular. Como a base só contém dias de pregão (sem fins de semana e feriados), preenchemos essas lacunas com o último valor válido (ffill), apenas para viabilizar a decomposição visual. É importante destacar que os modelos preditivos das seções seguintes não utilizam essa série preenchida artificialmente — apenas os dias de pregão reais.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00" w:before="100" w:line="2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dados_diario = dados[['ds','y']].set_index('ds').asfreq('D').ffill()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decomposicao = seasonal_decompose(dados_diario['y'], model='additive', period=365)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fig, axes = plt.subplots(4, 1, figsize=(20, 13), sharex=True)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decomposicao.observed.plot(ax=axes[0]); axes[0].set_title('Série observada')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decomposicao.trend.plot(ax=axes[1]); axes[1].set_title('Tendência')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decomposicao.seasonal.plot(ax=axes[2]); axes[2].set_title('Sazonalidade (período = 365 dias)')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decomposicao.resid.plot(ax=axes[3]); axes[3].set_title('Resíduo')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plt.tight_layout()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plt.show()</w:t>
      </w:r>
    </w:p>
    <w:p>
      <w:pPr>
        <w:spacing w:after="150" w:before="150"/>
        <w:jc w:val="center"/>
      </w:pPr>
      <w:r>
        <w:drawing>
          <wp:inline distT="0" distB="0" distL="0" distR="0">
            <wp:extent cx="4953000" cy="3209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leitura da decomposição traz três conclusões importantes: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sz w:val="22"/>
          <w:szCs w:val="22"/>
        </w:rPr>
        <w:t xml:space="preserve">Tendência: reproduz, de forma suavizada, os mesmos ciclos de alta e baixa plurianuais descritos no storytelling da seção 3 (queda até 2016, alta até 2020, choque da pandemia, nova alta até 2026). Isso confirma que o principal motor da série é a tendência de longo prazo, não um padrão sazonal.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sz w:val="22"/>
          <w:szCs w:val="22"/>
        </w:rPr>
        <w:t xml:space="preserve">Sazonalidade: o componente sazonal anual tem amplitude pequena e não representa um efeito de calendário forte e confiável — esperado, já que um índice de bolsa amplo não segue "estações do ano" fixas como vendas de varejo ou clima.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sz w:val="22"/>
          <w:szCs w:val="22"/>
        </w:rPr>
        <w:t xml:space="preserve">Resíduo: concentra os choques não explicados pela tendência nem pela sazonalidade, e fica visivelmente mais disperso em 2020, evidenciando que aquele ano foge do padrão normal de comportamento da série.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conclusão prática dessa decomposição é direta: a ausência de sazonalidade real justifica descartar modelos sazonais (como o SeasonalNaive) e focar em modelos que capturem tendência e autocorrelação de curto prazo, como o ARIMA.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4.2 Teste de estacionariedade (ADF)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Para justificar formalmente a ordem de diferenciação do ARIMA, aplicamos o teste ADF (Augmented Dickey-Fuller) na série de dias de pregão, sem preenchimento artificial. A hipótese nula (H0) do teste é que a série não é estacionária (possui raiz unitária); a hipótese alternativa (H1) é que a série é estacionária.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00" w:before="100" w:line="2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result_adf = adfuller(dados['y'])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print('Teste ADF — série original de fechamento')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print(f'Estatística: {result_adf[0]:.4f}')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print(f'P-valor: {result_adf[1]:.4f}')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for k, v in result_adf[4].items():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print(f'  {k}: {v:.4f}')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print('\n=&gt; Não estacionária' if result_adf[1] &gt; 0.05 else '\n=&gt; Estacionária')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00" w:before="100" w:line="2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dados_diff = dados['y'].diff().dropna()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result_adf_diff = adfuller(dados_diff)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print('Teste ADF — série diferenciada (1ª diferença)')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print(f'Estatística: {result_adf_diff[0]:.4f}')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print(f'P-valor: {result_adf_diff[1]:.6f}')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print('\n=&gt; Não estacionária' if result_adf_diff[1] &gt; 0.05 else '\n=&gt; Estacionária, confirma d=1 para o ARIMA')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900"/>
        <w:gridCol w:w="1600"/>
        <w:gridCol w:w="2500"/>
      </w:tblGrid>
      <w:tr>
        <w:trPr>
          <w:tblHeader/>
        </w:trPr>
        <w:tc>
          <w:tcPr>
            <w:tcW w:type="dxa" w:w="3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Série</w:t>
            </w:r>
          </w:p>
        </w:tc>
        <w:tc>
          <w:tcPr>
            <w:tcW w:type="dxa" w:w="19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Estatística ADF</w:t>
            </w:r>
          </w:p>
        </w:tc>
        <w:tc>
          <w:tcPr>
            <w:tcW w:type="dxa" w:w="1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P-valor</w:t>
            </w:r>
          </w:p>
        </w:tc>
        <w:tc>
          <w:tcPr>
            <w:tcW w:type="dxa" w:w="25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Conclusão</w:t>
            </w:r>
          </w:p>
        </w:tc>
      </w:tr>
      <w:tr>
        <w:tc>
          <w:tcPr>
            <w:tcW w:type="dxa" w:w="3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Fechamento original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-0,17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0,9416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Não estacionária</w:t>
            </w:r>
          </w:p>
        </w:tc>
      </w:tr>
      <w:tr>
        <w:tc>
          <w:tcPr>
            <w:tcW w:type="dxa" w:w="34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Fechamento diferenciado (1ª diferença)</w:t>
            </w:r>
          </w:p>
        </w:tc>
        <w:tc>
          <w:tcPr>
            <w:tcW w:type="dxa" w:w="19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-16,96</w:t>
            </w:r>
          </w:p>
        </w:tc>
        <w:tc>
          <w:tcPr>
            <w:tcW w:type="dxa" w:w="16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&lt; 0,0001</w:t>
            </w:r>
          </w:p>
        </w:tc>
        <w:tc>
          <w:tcPr>
            <w:tcW w:type="dxa" w:w="25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Estacionária</w:t>
            </w:r>
          </w:p>
        </w:tc>
      </w:tr>
    </w:tbl>
    <w:p>
      <w:pPr>
        <w:spacing w:after="200"/>
      </w:pPr>
    </w:p>
    <w:p>
      <w:pPr>
        <w:spacing w:after="20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Como esperado para um índice financeiro, a série original não é estacionária, mas a primeira diferença é. Isso justifica usar d = 1 no modelo ARIMA(p, d, q).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4.3 Autocorrelação (ACF e PACF)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00" w:before="100" w:line="2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fig, ax = plt.subplots(nrows=2, ncols=1, figsize=(10,8))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plot_acf(dados['y'], lags=20, ax=ax[0])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plot_pacf(dados['y'], lags=20, ax=ax[1], method='ols')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plt.tight_layout()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plt.show()</w:t>
      </w:r>
    </w:p>
    <w:p>
      <w:pPr>
        <w:spacing w:after="150" w:before="150"/>
        <w:jc w:val="center"/>
      </w:pPr>
      <w:r>
        <w:drawing>
          <wp:inline distT="0" distB="0" distL="0" distR="0">
            <wp:extent cx="4000500" cy="3190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Os gráficos de autocorrelação (ACF) e autocorrelação parcial (PACF) confirmam forte autocorrelação em lags curtos — a série "lembra" fortemente dos últimos dias — o que justifica o uso de um componente autorregressivo de ordem p = 5 no ARIMA.</w:t>
      </w:r>
    </w:p>
    <w:p>
      <w:r>
        <w:br w:type="page"/>
      </w:r>
    </w:p>
    <w:p>
      <w:pPr>
        <w:pStyle w:val="Heading1"/>
        <w:pBdr>
          <w:bottom w:val="single" w:color="1F3864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5. Engenharia de atributos (features)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Para os modelos de machine learning (regressão e classificação) utilizados como contraponto ao ARIMA, foram construídos indicadores técnicos clássicos de séries financeiras, todos calculados usando apenas informação disponível até o dia D — ou seja, sem vazamento de dados (lookahead bias). Os atributos criados foram: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sz w:val="22"/>
          <w:szCs w:val="22"/>
        </w:rPr>
        <w:t xml:space="preserve">Retornos defasados (lags de 1, 2, 3, 5 e 10 dias): capturam a autocorrelação de curto prazo identificada no ACF/PACF.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sz w:val="22"/>
          <w:szCs w:val="22"/>
        </w:rPr>
        <w:t xml:space="preserve">Médias móveis simples (janelas de 5, 10, 20 e 50 dias) e a razão entre o preço atual e cada média: indicam se o índice está "esticado" acima ou abaixo da sua tendência recente.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sz w:val="22"/>
          <w:szCs w:val="22"/>
        </w:rPr>
        <w:t xml:space="preserve">Volatilidade móvel: desvio-padrão dos retornos em janelas de 5 a 50 dias.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sz w:val="22"/>
          <w:szCs w:val="22"/>
        </w:rPr>
        <w:t xml:space="preserve">MACD (convergência/divergência de médias móveis exponenciais) e RSI de 14 dias (índice de força relativa): indicadores clássicos de momentum, amplamente usados em análise técnica.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sz w:val="22"/>
          <w:szCs w:val="22"/>
        </w:rPr>
        <w:t xml:space="preserve">Bandas de Bollinger: posição do preço dentro das bandas e largura das bandas, indicando situações de sobrecompra/sobrevenda e o regime de volatilidade.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sz w:val="22"/>
          <w:szCs w:val="22"/>
        </w:rPr>
        <w:t xml:space="preserve">Amplitude intradiária e gap de abertura: medem o quanto o mercado "brigou" dentro do próprio pregão e a surpresa entre o fechamento anterior e a abertura seguinte.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sz w:val="22"/>
          <w:szCs w:val="22"/>
        </w:rPr>
        <w:t xml:space="preserve">Volume (logaritmo e razão contra a média móvel de 10 dias).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sz w:val="22"/>
          <w:szCs w:val="22"/>
        </w:rPr>
        <w:t xml:space="preserve">Dia da semana.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Os alvos de previsão (target) são sempre referentes ao próximo pregão: o valor de fechamento (para os modelos de regressão) e a direção — alta ou baixa (para os modelos de classificação) — garantindo que a previsão é genuinamente prospectiva.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00" w:before="100" w:line="2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df = dados.copy()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# retorno diário (log-retorno)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df['ret'] = np.log(df['y'] / df['y'].shift(1))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# alvos: próximo pregão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df['target_dir'] = (df['y'].shift(-1) &gt; df['y']).astype(int)  # 1 = sobe, 0 = cai/mantém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df['target_y'] = df['y'].shift(-1)                              # valor de fechamento do próximo pregão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# retornos defasados (ret_lag1 = retorno do próprio dia D, sem usar informação futura)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for lag in [1, 2, 3, 5, 10]: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df[f'ret_lag{lag}'] = df['ret'].shift(lag - 1)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# médias móveis e volatilidade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for w in [5, 10, 20, 50]: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df[f'sma_{w}'] = df['y'].rolling(w).mean()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df[f'sma_ratio_{w}'] = df['y'] / df[f'sma_{w}']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df[f'vol_{w}'] = df['ret'].rolling(w).std()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# MACD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df['ema_12'] = df['y'].ewm(span=12, adjust=False).mean()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df['ema_26'] = df['y'].ewm(span=26, adjust=False).mean()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df['macd'] = df['ema_12'] - df['ema_26']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df['macd_signal'] = df['macd'].ewm(span=9, adjust=False).mean()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df['macd_hist'] = df['macd'] - df['macd_signal']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# RSI-14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delta = df['y'].diff()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gain = delta.clip(lower=0).rolling(14).mean()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loss = (-delta.clip(upper=0)).rolling(14).mean()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df['rsi_14'] = 100 - (100 / (1 + gain / loss))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# Bandas de Bollinger (20 dias)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df['bb_mid'] = df['y'].rolling(20).mean()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df['bb_std'] = df['y'].rolling(20).std()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df['bb_upper'] = df['bb_mid'] + 2 * df['bb_std']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df['bb_lower'] = df['bb_mid'] - 2 * df['bb_std']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df['bb_width'] = (df['bb_upper'] - df['bb_lower']) / df['bb_mid']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df['bb_pos'] = (df['y'] - df['bb_lower']) / (df['bb_upper'] - df['bb_lower'])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# amplitude intradiária e gap de abertura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df['amplitude_pct'] = (df['max'] - df['min']) / df['y']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df['gap_pct'] = (df['abertura'] - df['y'].shift(1)) / df['y'].shift(1)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# volume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df['vol_log'] = np.log(df['volume'])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df['vol_sma_10'] = df['volume'].rolling(10).mean()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df['vol_ratio'] = df['volume'] / df['vol_sma_10']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# dia da semana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df['dow'] = df['ds'].dt.dayofweek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feature_cols = ['ret_lag1','ret_lag2','ret_lag3','ret_lag5','ret_lag10',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        'sma_ratio_5','sma_ratio_10','sma_ratio_20','sma_ratio_50',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        'vol_5','vol_10','vol_20','vol_50',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        'macd','macd_signal','macd_hist','rsi_14',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        'bb_width','bb_pos','amplitude_pct','gap_pct',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        'vol_log','vol_ratio','dow']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model_df = df.dropna(subset=feature_cols + ['target_dir','target_y']).reset_index(drop=True)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print(f'{len(model_df)} linhas utilizáveis após remover o "aquecimento" das janelas móveis')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print(f'Período: {model_df.ds.min().date()} a {model_df.ds.max().date()}')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model_df[feature_cols].describe().T[['mean','std','min','max']]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Após a criação de todos os atributos, as primeiras linhas da base são descartadas, pois as janelas móveis (por exemplo, a média de 50 dias) só produzem valores válidos a partir do 50º dia disponível. Restaram 4.037 linhas utilizáveis para modelagem, cobrindo o período de 18/03/2010 a 29/06/2026.</w:t>
      </w:r>
    </w:p>
    <w:p>
      <w:r>
        <w:br w:type="page"/>
      </w:r>
    </w:p>
    <w:p>
      <w:pPr>
        <w:pStyle w:val="Heading1"/>
        <w:pBdr>
          <w:bottom w:val="single" w:color="1F3864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6. Separação treino/teste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Em séries temporais, o split entre treino e teste nunca pode ser aleatório: embaralhar as observações causaria vazamento de dados, pois o modelo passaria a "ver o futuro" durante o treinamento. O split precisa necessariamente respeitar a ordem cronológica.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Foram utilizados os últimos 125 pregões (aproximadamente 6 meses) como conjunto de teste — um período recente, fora do treinamento de qualquer modelo, simulando um cenário real de uso em produção.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00" w:before="100" w:line="2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N_TEST = 125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train = model_df.iloc[:-N_TEST].copy()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test = model_df.iloc[-N_TEST:].copy()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print(f'Treino: {train.ds.min().date()} -&gt; {train.ds.max().date()}  ({len(train)} pregões)')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print(f'Teste : {test.ds.min().date()} -&gt; {test.ds.max().date()}  ({len(test)} pregões)')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print()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print('Balanceamento do alvo de direção (treino):')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print(train['target_dir'].value_counts(normalize=True).rename('proporção'))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 treino cobre o período de 18/03/2010 a 22/12/2025 (3.912 pregões), e o teste cobre de 23/12/2025 a 29/06/2026 (125 pregões). O alvo de direção (alta/baixa) está bem balanceado no treino, com aproximadamente 51% de dias de alta e 49% de dias de baixa/estabilidade — um primeiro indício de que "adivinhar a direção" será uma tarefa difícil de bater com folga, já que não há uma classe dominante a ser explorada.</w:t>
      </w:r>
    </w:p>
    <w:p>
      <w:r>
        <w:br w:type="page"/>
      </w:r>
    </w:p>
    <w:p>
      <w:pPr>
        <w:pStyle w:val="Heading1"/>
        <w:pBdr>
          <w:bottom w:val="single" w:color="1F3864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7. Modelo baseline: Naive (persistência)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Antes de qualquer modelo sofisticado, é fundamental estabelecer um baseline simples: o modelo Naive de persistência, que prevê que o fechamento de amanhã será igual ao de hoje. Todo modelo mais complexo precisa justificar sua sofisticação superando esse baseline — ou, quando isso não ocorre, é preciso entender e comunicar honestamente o motivo.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00" w:before="100" w:line="2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y_true = test['target_y'].values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naive_pred = test['y'].values  # "amanhã = hoje"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wmape_naive = wmape(y_true, naive_pred)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mae_naive = mae(y_true, naive_pred)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print(f'Naive (persistência) -&gt; WMAPE: {wmape_naive:.2%}  |  Assertividade (1-WMAPE): {1-wmape_naive:.2%}  |  MAE: {mae_naive:.2f}')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fig, ax = plt.subplots(figsize=(20, 6))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sns.lineplot(x=test['ds'], y=y_true, label='Real', ax=ax)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sns.lineplot(x=test['ds'], y=naive_pred, label='Naive', ax=ax, color='red')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ax.set_title('Modelo Naive vs. valor real — período de teste', fontsize=14)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ax.legend()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plt.show()</w:t>
      </w:r>
    </w:p>
    <w:p>
      <w:pPr>
        <w:spacing w:after="150" w:before="150"/>
        <w:jc w:val="center"/>
      </w:pPr>
      <w:r>
        <w:drawing>
          <wp:inline distT="0" distB="0" distL="0" distR="0">
            <wp:extent cx="5334000" cy="1819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 baseline Naive obteve WMAPE de 0.93%, equivalente a uma assertividade (1 − WMAPE) de 99.07% — um resultado esperado para uma série próxima de um passeio aleatório, mas que não deve ser confundido com capacidade preditiva real: o modelo simplesmente não erra muito porque o índice não costuma variar muito de um dia para o outro.</w:t>
      </w:r>
    </w:p>
    <w:p>
      <w:r>
        <w:br w:type="page"/>
      </w:r>
    </w:p>
    <w:p>
      <w:pPr>
        <w:pStyle w:val="Heading1"/>
        <w:pBdr>
          <w:bottom w:val="single" w:color="1F3864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8. Modelo utilizado: ARIMA — explicação e vantagens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8.1 Por que ARIMA?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 ARIMA (AutoRegressive Integrated Moving Average) foi escolhido como modelo principal por ser a técnica estatística clássica mais adequada ao comportamento identificado na análise exploratória e na decomposição da série (seção 4):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sz w:val="22"/>
          <w:szCs w:val="22"/>
        </w:rPr>
        <w:t xml:space="preserve">A série não é estacionária, mas se torna estacionária após uma diferenciação, o que justifica o parâmetro d = 1.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sz w:val="22"/>
          <w:szCs w:val="22"/>
        </w:rPr>
        <w:t xml:space="preserve">Há forte autocorrelação em lags curtos, evidenciada no ACF/PACF, o que justifica um componente autorregressivo p = 5.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sz w:val="22"/>
          <w:szCs w:val="22"/>
        </w:rPr>
        <w:t xml:space="preserve">Não há sazonalidade real, confirmado na decomposição, o que dispensa componentes sazonais (SARIMA) e reforça que um modelo puramente autorregressivo já captura a maior parte do sinal.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Optou-se pela ordem ARIMA(5,1,0) — sem componente de médias móveis (q=0) — testada em duas variações: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sz w:val="22"/>
          <w:szCs w:val="22"/>
        </w:rPr>
        <w:t xml:space="preserve">ARIMA estático: treina uma única vez com os dados de treino e prevê todos os 125 dias de teste de uma só vez, sem "ver" os valores reais no caminho. Serve para entender o quanto o erro se acumula em previsões de longo horizonte.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sz w:val="22"/>
          <w:szCs w:val="22"/>
        </w:rPr>
        <w:t xml:space="preserve">ARIMA walk-forward: a cada novo dia, o valor real do dia anterior é incorporado ao histórico e o modelo é retreinado antes da próxima previsão, simulando o uso real de um modelo em produção, atualizado diariamente. É essa versão que sustenta a previsão final dos próximos 15 dias (seção 11).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8.2 Vantagens do ARIMA para este problema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8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Vantagem</w:t>
            </w:r>
          </w:p>
        </w:tc>
        <w:tc>
          <w:tcPr>
            <w:tcW w:type="dxa" w:w="68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Por que importa aqui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Fundamentação estatística clara</w:t>
            </w:r>
          </w:p>
        </w:tc>
        <w:tc>
          <w:tcPr>
            <w:tcW w:type="dxa" w:w="6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 ordem do modelo não é escolhida por tentativa e erro: vem diretamente dos testes ADF e dos gráficos ACF/PACF, o que torna o resultado auditável e reprodutível.</w:t>
            </w:r>
          </w:p>
        </w:tc>
      </w:tr>
      <w:tr>
        <w:tc>
          <w:tcPr>
            <w:tcW w:type="dxa" w:w="26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Intervalos de confiança nativos</w:t>
            </w:r>
          </w:p>
        </w:tc>
        <w:tc>
          <w:tcPr>
            <w:tcW w:type="dxa" w:w="68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Diferente de um modelo de machine learning "caixa-preta", o ARIMA entrega, junto com a previsão pontual, uma faixa de confiança estatística — essencial para o investidor entender o risco da previsão, não apenas o valor esperado.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Baixo custo computacional</w:t>
            </w:r>
          </w:p>
        </w:tc>
        <w:tc>
          <w:tcPr>
            <w:tcW w:type="dxa" w:w="6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Funciona bem com uma única série de cerca de 4.000 pontos, sem precisar de grandes volumes de dados como redes neurais (LSTM/Transformers).</w:t>
            </w:r>
          </w:p>
        </w:tc>
      </w:tr>
      <w:tr>
        <w:tc>
          <w:tcPr>
            <w:tcW w:type="dxa" w:w="26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Extensível</w:t>
            </w:r>
          </w:p>
        </w:tc>
        <w:tc>
          <w:tcPr>
            <w:tcW w:type="dxa" w:w="68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Pode evoluir para SARIMAX, incorporando variáveis exógenas (Selic, câmbio, S&amp;P 500) sem trocar de framework.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Interpretabilidade</w:t>
            </w:r>
          </w:p>
        </w:tc>
        <w:tc>
          <w:tcPr>
            <w:tcW w:type="dxa" w:w="6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Cada componente (autorregressivo, integração, médias móveis) tem significado estatístico direto, facilitando a explicação para stakeholders de negócio.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8.3 Implementação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Nota técnica: versões antigas do statsmodels utilizavam a chamada model.forecast(disp=0) e indexação output[0] para extrair previsões do ARIMA — essa API não existe mais nas versões atuais da biblioteca. O código abaixo usa a API atual, na qual o método forecast() retorna diretamente uma Series/array com os valores previstos.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00" w:before="100" w:line="2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# 8.1 ARIMA estático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y_train_series = train.set_index('ds')['y']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arima_static = ARIMA(y_train_series, order=(5,1,0)).fit()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pred_static = arima_static.forecast(steps=len(test)).values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wmape_static = wmape(y_true, pred_static)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print(f'ARIMA estático -&gt; WMAPE: {wmape_static:.2%}  |  Assertividade: {1-wmape_static:.2%}')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00" w:before="100" w:line="2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# 8.2 ARIMA walk-forward (retreina a cada passo com o valor real anterior)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history = list(train['y'].values)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preds_wf = []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for i in range(len(test)):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m = ARIMA(history, order=(5,1,0)).fit()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yhat = m.forecast(steps=1)[0]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preds_wf.append(yhat)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history.append(test['y'].values[i])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preds_wf = np.array(preds_wf)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wmape_wf = wmape(y_true, preds_wf)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print(f'ARIMA walk-forward -&gt; WMAPE: {wmape_wf:.2%}  |  Assertividade: {1-wmape_wf:.2%}')</w:t>
      </w:r>
    </w:p>
    <w:p>
      <w:pPr>
        <w:spacing w:after="150" w:before="150"/>
        <w:jc w:val="center"/>
      </w:pPr>
      <w:r>
        <w:drawing>
          <wp:inline distT="0" distB="0" distL="0" distR="0">
            <wp:extent cx="5334000" cy="3190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 ARIMA estático obteve WMAPE de 11.89% (assertividade de 88.11%), enquanto o ARIMA walk-forward obteve WMAPE de 1.30% (assertividade de 98.70%).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Fica evidente a diferença entre as duas abordagens: o ARIMA estático acumula erro ao longo do horizonte, pois a previsão se afasta do valor real conforme os dias passam sem nunca ser corrigida. O ARIMA walk-forward, por ser realimentado diariamente com o valor real, consegue seguir de perto a série — mas isso acontece essencialmente porque ele aprende a repetir o último valor observado, de forma muito próxima ao que o modelo Naive já fazia. Um erro baixo, portanto, não implica necessariamente uma previsão informativa — por isso a análise é complementada com features e com a investigação de classificação de direção nas próximas seções.</w:t>
      </w:r>
    </w:p>
    <w:p>
      <w:r>
        <w:br w:type="page"/>
      </w:r>
    </w:p>
    <w:p>
      <w:pPr>
        <w:pStyle w:val="Heading1"/>
        <w:pBdr>
          <w:bottom w:val="single" w:color="1F3864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9. Modelos de regressão com atributos (features)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Como contraponto ao ARIMA, foram testados modelos de machine learning que usam os indicadores técnicos construídos na seção 5, em vez de olhar apenas para a própria série de preços. O objetivo é verificar se algum modelo consegue superar o baseline Naive de forma genuína, e não apenas "colar" no valor anterior.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00" w:before="100" w:line="2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X_train, y_train_val = train[feature_cols], train['target_y']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X_test = test[feature_cols]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scaler = StandardScaler()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X_train_s = scaler.fit_transform(X_train)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X_test_s = scaler.transform(X_test)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results_reg = {'Naive (persistência)': wmape_naive,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       'ARIMA estático': wmape_static,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       'ARIMA walk-forward': wmape_wf}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lin = LinearRegression().fit(X_train_s, y_train_val)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results_reg['Linear Regression (features)'] = wmape(y_true, lin.predict(X_test_s))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rf_r = RandomForestRegressor(n_estimators=400, max_depth=6, min_samples_leaf=10, random_state=42, n_jobs=-1)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rf_r.fit(X_train, y_train_val)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results_reg['Random Forest (features)'] = wmape(y_true, rf_r.predict(X_test))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xgb_r = xgb.XGBRegressor(n_estimators=300, max_depth=3, learning_rate=0.05, random_state=42)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xgb_r.fit(X_train, y_train_val)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results_reg['XGBoost (features)'] = wmape(y_true, xgb_r.predict(X_test))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reg_table = pd.DataFrame({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'WMAPE': results_reg,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}).assign(Assertividade=lambda d: 1 - d['WMAPE']).sort_values('WMAPE')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reg_table.style.format({'WMAPE':'{:.2%}', 'Assertividade':'{:.2%}'})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600"/>
        <w:gridCol w:w="2600"/>
      </w:tblGrid>
      <w:tr>
        <w:trPr>
          <w:tblHeader/>
        </w:trPr>
        <w:tc>
          <w:tcPr>
            <w:tcW w:type="dxa" w:w="4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Modelo</w:t>
            </w:r>
          </w:p>
        </w:tc>
        <w:tc>
          <w:tcPr>
            <w:tcW w:type="dxa" w:w="2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WMAPE</w:t>
            </w:r>
          </w:p>
        </w:tc>
        <w:tc>
          <w:tcPr>
            <w:tcW w:type="dxa" w:w="2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Assertividade (1 − WMAPE)</w:t>
            </w:r>
          </w:p>
        </w:tc>
      </w:tr>
      <w:tr>
        <w:tc>
          <w:tcPr>
            <w:tcW w:type="dxa" w:w="4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Naive (persistência)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0.93%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99.07%</w:t>
            </w:r>
          </w:p>
        </w:tc>
      </w:tr>
      <w:tr>
        <w:tc>
          <w:tcPr>
            <w:tcW w:type="dxa" w:w="42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ARIMA estático</w:t>
            </w:r>
          </w:p>
        </w:tc>
        <w:tc>
          <w:tcPr>
            <w:tcW w:type="dxa" w:w="26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11.89%</w:t>
            </w:r>
          </w:p>
        </w:tc>
        <w:tc>
          <w:tcPr>
            <w:tcW w:type="dxa" w:w="26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88.11%</w:t>
            </w:r>
          </w:p>
        </w:tc>
      </w:tr>
      <w:tr>
        <w:tc>
          <w:tcPr>
            <w:tcW w:type="dxa" w:w="4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ARIMA walk-forward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1.30%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98.70%</w:t>
            </w:r>
          </w:p>
        </w:tc>
      </w:tr>
      <w:tr>
        <w:tc>
          <w:tcPr>
            <w:tcW w:type="dxa" w:w="42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Linear Regression (features)</w:t>
            </w:r>
          </w:p>
        </w:tc>
        <w:tc>
          <w:tcPr>
            <w:tcW w:type="dxa" w:w="26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13.78%</w:t>
            </w:r>
          </w:p>
        </w:tc>
        <w:tc>
          <w:tcPr>
            <w:tcW w:type="dxa" w:w="26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86.22%</w:t>
            </w:r>
          </w:p>
        </w:tc>
      </w:tr>
      <w:tr>
        <w:tc>
          <w:tcPr>
            <w:tcW w:type="dxa" w:w="4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Random Forest (features)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28.00%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72.00%</w:t>
            </w:r>
          </w:p>
        </w:tc>
      </w:tr>
      <w:tr>
        <w:tc>
          <w:tcPr>
            <w:tcW w:type="dxa" w:w="42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XGBoost (features)</w:t>
            </w:r>
          </w:p>
        </w:tc>
        <w:tc>
          <w:tcPr>
            <w:tcW w:type="dxa" w:w="26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30.51%</w:t>
            </w:r>
          </w:p>
        </w:tc>
        <w:tc>
          <w:tcPr>
            <w:tcW w:type="dxa" w:w="26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69.49%</w:t>
            </w:r>
          </w:p>
        </w:tc>
      </w:tr>
    </w:tbl>
    <w:p>
      <w:pPr>
        <w:spacing w:after="200"/>
      </w:pPr>
    </w:p>
    <w:p>
      <w:pPr>
        <w:spacing w:after="20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Os modelos de regressão baseados em features de indicadores técnicos não superam o baseline Naive nem o ARIMA walk-forward em termos de WMAPE. Esse resultado é esperado e importante de reportar com honestidade: como o índice varia pouco de um dia para o outro, é muito difícil que qualquer modelo baseado em padrões — e não apenas no último valor observado — consiga um erro percentual menor do que simplesmente repetir o valor anterior. Isso reforça a leitura de que o mercado se comporta de forma consistente com a hipótese de eficiência de mercado (em sua forma fraca): informação pública passada tem pouco poder preditivo sobre o valor absoluto do próximo fechamento.</w:t>
      </w:r>
    </w:p>
    <w:p>
      <w:r>
        <w:br w:type="page"/>
      </w:r>
    </w:p>
    <w:p>
      <w:pPr>
        <w:pStyle w:val="Heading1"/>
        <w:pBdr>
          <w:bottom w:val="single" w:color="1F3864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10. Classificação de direção — investigação complementar sobre os 80% de acurácia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Se o valor absoluto do fechamento é difícil de melhorar em relação ao baseline, resta uma pergunta mais relevante para uma mesa de investimentos: é possível prever se o índice vai subir ou cair no dia seguinte? Essa pergunta foi testada como um problema de classificação binária, usando os mesmos atributos técnicos da seção 5.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00" w:before="100" w:line="2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y_train_dir, y_test_dir = train['target_dir'], test['target_dir']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results_clf = {}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maj = y_train_dir.mode()[0]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results_clf['Baseline (classe majoritária)'] = accuracy_score(y_test_dir, np.full(len(y_test_dir), maj))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lr = LogisticRegression(max_iter=1000, C=0.5).fit(X_train_s, y_train_dir)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results_clf['Logistic Regression'] = accuracy_score(y_test_dir, lr.predict(X_test_s))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rf_c = RandomForestClassifier(n_estimators=400, max_depth=5, min_samples_leaf=20, random_state=42, n_jobs=-1)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rf_c.fit(X_train, y_train_dir)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results_clf['Random Forest'] = accuracy_score(y_test_dir, rf_c.predict(X_test))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gb_c = GradientBoostingClassifier(n_estimators=200, max_depth=3, learning_rate=0.05, random_state=42)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gb_c.fit(X_train, y_train_dir)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results_clf['Gradient Boosting'] = accuracy_score(y_test_dir, gb_c.predict(X_test))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xgb_c = xgb.XGBClassifier(n_estimators=300, max_depth=3, learning_rate=0.05, random_state=42, eval_metric='logloss')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xgb_c.fit(X_train, y_train_dir)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results_clf['XGBoost'] = accuracy_score(y_test_dir, xgb_c.predict(X_test))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clf_table = pd.DataFrame({'Acurácia': results_clf}).sort_values('Acurácia', ascending=False)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clf_table.style.format({'Acurácia':'{:.2%}'})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400"/>
      </w:tblGrid>
      <w:tr>
        <w:trPr>
          <w:tblHeader/>
        </w:trPr>
        <w:tc>
          <w:tcPr>
            <w:tcW w:type="dxa" w:w="4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Modelo</w:t>
            </w:r>
          </w:p>
        </w:tc>
        <w:tc>
          <w:tcPr>
            <w:tcW w:type="dxa" w:w="4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Acurácia</w:t>
            </w:r>
          </w:p>
        </w:tc>
      </w:tr>
      <w:tr>
        <w:tc>
          <w:tcPr>
            <w:tcW w:type="dxa" w:w="4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Baseline (classe majoritária)</w:t>
            </w:r>
          </w:p>
        </w:tc>
        <w:tc>
          <w:tcPr>
            <w:tcW w:type="dxa" w:w="4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50.40%</w:t>
            </w:r>
          </w:p>
        </w:tc>
      </w:tr>
      <w:tr>
        <w:tc>
          <w:tcPr>
            <w:tcW w:type="dxa" w:w="44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Logistic Regression</w:t>
            </w:r>
          </w:p>
        </w:tc>
        <w:tc>
          <w:tcPr>
            <w:tcW w:type="dxa" w:w="44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52.00%</w:t>
            </w:r>
          </w:p>
        </w:tc>
      </w:tr>
      <w:tr>
        <w:tc>
          <w:tcPr>
            <w:tcW w:type="dxa" w:w="4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Random Forest</w:t>
            </w:r>
          </w:p>
        </w:tc>
        <w:tc>
          <w:tcPr>
            <w:tcW w:type="dxa" w:w="4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50.40%</w:t>
            </w:r>
          </w:p>
        </w:tc>
      </w:tr>
      <w:tr>
        <w:tc>
          <w:tcPr>
            <w:tcW w:type="dxa" w:w="44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Gradient Boosting</w:t>
            </w:r>
          </w:p>
        </w:tc>
        <w:tc>
          <w:tcPr>
            <w:tcW w:type="dxa" w:w="44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53.60%</w:t>
            </w:r>
          </w:p>
        </w:tc>
      </w:tr>
      <w:tr>
        <w:tc>
          <w:tcPr>
            <w:tcW w:type="dxa" w:w="4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XGBoost</w:t>
            </w:r>
          </w:p>
        </w:tc>
        <w:tc>
          <w:tcPr>
            <w:tcW w:type="dxa" w:w="4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55.20%</w:t>
            </w:r>
          </w:p>
        </w:tc>
      </w:tr>
    </w:tbl>
    <w:p>
      <w:pPr>
        <w:spacing w:after="200"/>
      </w:pPr>
    </w:p>
    <w:p>
      <w:pPr>
        <w:spacing w:after="20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Os modelos de classificação ficam próximos de 50% a 55% de acurácia, pouco acima de "cara ou coroa". Esse resultado é consistente com a literatura acadêmica de finanças: a previsão de direção de curto prazo em índices amplos e líquidos é uma das tarefas mais estudadas e mais resistentes a modelos preditivos, precisamente pela hipótese de eficiência de mercado — se um padrão previsível e simples existisse, ele seria rapidamente arbitrado pelos participantes do mercado e deixaria de existir.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10.1 Tentativas para elevar a acurácia até 80% — o que foi testado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Antes de aceitar um patamar de aproximadamente 55% como resultado final da via de classificação, foram testadas de forma honesta três estratégias legítimas para tentar elevar a acurácia: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sz w:val="22"/>
          <w:szCs w:val="22"/>
        </w:rPr>
        <w:t xml:space="preserve">Threshold de confiança (abstenção): emitir previsão apenas quando a probabilidade do modelo for alta (por exemplo, acima de 65%), reportando a acurácia apenas nesse subconjunto mais "confiante".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sz w:val="22"/>
          <w:szCs w:val="22"/>
        </w:rPr>
        <w:t xml:space="preserve">Horizontes alternativos: prever a direção com 3, 5, 10 e 20 dias de antecedência, em vez de apenas o próximo pregão, testando se um horizonte maior captura mais sinal de tendência.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sz w:val="22"/>
          <w:szCs w:val="22"/>
        </w:rPr>
        <w:t xml:space="preserve">Zona morta (dead zone): remover do treino e do teste os dias com variação muito pequena (ruído), mantendo apenas movimentos de maior magnitude, teoricamente mais fáceis de classificar corretamente.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00" w:before="100" w:line="2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# 10.1.a Threshold de confiança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proba_xgb = xgb_c.predict_proba(X_test)[:, 1]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conf = np.maximum(proba_xgb, 1 - proba_xgb)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preds_xgb = (proba_xgb &gt; 0.5).astype(int)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print('--- Threshold de confiança (XGBoost) ---')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for thresh in [0.50, 0.55, 0.60, 0.65, 0.70]: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mask = conf &gt;= thresh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if mask.sum() &lt; 5: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print(f'thresh={thresh:.2f}: menos de 5 dias no subconjunto, não conclusivo')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continue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acc_t = accuracy_score(y_test_dir[mask], preds_xgb[mask])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print(f'thresh={thresh:.2f} | cobertura: {mask.mean():.1%} dos dias (n={mask.sum()}) | acurácia: {acc_t:.2%}')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600"/>
        <w:gridCol w:w="2600"/>
      </w:tblGrid>
      <w:tr>
        <w:trPr>
          <w:tblHeader/>
        </w:trPr>
        <w:tc>
          <w:tcPr>
            <w:tcW w:type="dxa" w:w="3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Threshold de confiança</w:t>
            </w:r>
          </w:p>
        </w:tc>
        <w:tc>
          <w:tcPr>
            <w:tcW w:type="dxa" w:w="2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Cobertura</w:t>
            </w:r>
          </w:p>
        </w:tc>
        <w:tc>
          <w:tcPr>
            <w:tcW w:type="dxa" w:w="2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Acurácia</w:t>
            </w:r>
          </w:p>
        </w:tc>
      </w:tr>
      <w:tr>
        <w:tc>
          <w:tcPr>
            <w:tcW w:type="dxa" w:w="3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≥ 0,50 (todos os dias)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100,0%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55,2%</w:t>
            </w:r>
          </w:p>
        </w:tc>
      </w:tr>
      <w:tr>
        <w:tc>
          <w:tcPr>
            <w:tcW w:type="dxa" w:w="36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≥ 0,55</w:t>
            </w:r>
          </w:p>
        </w:tc>
        <w:tc>
          <w:tcPr>
            <w:tcW w:type="dxa" w:w="26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75,2%</w:t>
            </w:r>
          </w:p>
        </w:tc>
        <w:tc>
          <w:tcPr>
            <w:tcW w:type="dxa" w:w="26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54,3%</w:t>
            </w:r>
          </w:p>
        </w:tc>
      </w:tr>
      <w:tr>
        <w:tc>
          <w:tcPr>
            <w:tcW w:type="dxa" w:w="3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≥ 0,60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48,8%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47,5%</w:t>
            </w:r>
          </w:p>
        </w:tc>
      </w:tr>
      <w:tr>
        <w:tc>
          <w:tcPr>
            <w:tcW w:type="dxa" w:w="36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≥ 0,65</w:t>
            </w:r>
          </w:p>
        </w:tc>
        <w:tc>
          <w:tcPr>
            <w:tcW w:type="dxa" w:w="26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24,0%</w:t>
            </w:r>
          </w:p>
        </w:tc>
        <w:tc>
          <w:tcPr>
            <w:tcW w:type="dxa" w:w="26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46,7%</w:t>
            </w:r>
          </w:p>
        </w:tc>
      </w:tr>
      <w:tr>
        <w:tc>
          <w:tcPr>
            <w:tcW w:type="dxa" w:w="3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≥ 0,70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8,8%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54,6%</w:t>
            </w:r>
          </w:p>
        </w:tc>
      </w:tr>
    </w:tbl>
    <w:p>
      <w:pPr>
        <w:spacing w:after="200"/>
      </w:pP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00" w:before="100" w:line="2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# 10.1.b Horizontes alternativos de previsão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print('--- Horizontes alternativos (XGBoost) ---')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for horizon in [1, 3, 5, 10, 20]: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target_h = (df['y'].shift(-horizon) &gt; df['y']).astype(int)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tmp = df.copy()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tmp['target_h'] = target_h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tmp = tmp.dropna(subset=feature_cols + ['target_h'])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tr, te = tmp.iloc[:-N_TEST], tmp.iloc[-N_TEST:]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xgb_h = xgb.XGBClassifier(n_estimators=300, max_depth=3, learning_rate=0.05, random_state=42, eval_metric='logloss')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xgb_h.fit(tr[feature_cols], tr['target_h'])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acc_h = accuracy_score(te['target_h'], xgb_h.predict(te[feature_cols]))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base_h = accuracy_score(te['target_h'], np.full(len(te), tr['target_h'].mode()[0]))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print(f'horizonte={horizon:2d} dias | baseline: {base_h:.2%} | XGBoost: {acc_h:.2%}')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Horizonte</w:t>
            </w:r>
          </w:p>
        </w:tc>
        <w:tc>
          <w:tcPr>
            <w:tcW w:type="dxa" w:w="30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Baseline</w:t>
            </w:r>
          </w:p>
        </w:tc>
        <w:tc>
          <w:tcPr>
            <w:tcW w:type="dxa" w:w="30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XGBoost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 dia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49,6%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54,4%</w:t>
            </w:r>
          </w:p>
        </w:tc>
      </w:tr>
      <w:tr>
        <w:tc>
          <w:tcPr>
            <w:tcW w:type="dxa" w:w="30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3 dias</w:t>
            </w:r>
          </w:p>
        </w:tc>
        <w:tc>
          <w:tcPr>
            <w:tcW w:type="dxa" w:w="30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52,0%</w:t>
            </w:r>
          </w:p>
        </w:tc>
        <w:tc>
          <w:tcPr>
            <w:tcW w:type="dxa" w:w="30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48,0%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5 dias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52,0%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40,0%</w:t>
            </w:r>
          </w:p>
        </w:tc>
      </w:tr>
      <w:tr>
        <w:tc>
          <w:tcPr>
            <w:tcW w:type="dxa" w:w="30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10 dias</w:t>
            </w:r>
          </w:p>
        </w:tc>
        <w:tc>
          <w:tcPr>
            <w:tcW w:type="dxa" w:w="30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47,2%</w:t>
            </w:r>
          </w:p>
        </w:tc>
        <w:tc>
          <w:tcPr>
            <w:tcW w:type="dxa" w:w="30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40,8%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20 dias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36,8%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36,8%</w:t>
            </w:r>
          </w:p>
        </w:tc>
      </w:tr>
    </w:tbl>
    <w:p>
      <w:pPr>
        <w:spacing w:after="200"/>
      </w:pP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00" w:before="100" w:line="2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# 10.1.c Zona morta (remove dias de variação pequena/ambígua)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fut_ret = df['y'].shift(-1) / df['y'] - 1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tmp = df.copy()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tmp['fut_ret'] = fut_ret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tmp = tmp.dropna(subset=feature_cols + ['target_dir', 'fut_ret'])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tr_full, te_full = tmp.iloc[:-N_TEST], tmp.iloc[-N_TEST:]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print('--- Zona morta / filtro de sinal claro (XGBoost) ---')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for dz in [0.0, 0.005, 0.01, 0.015, 0.02]: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tr = tr_full[tr_full['fut_ret'].abs() &gt; dz]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te = te_full[te_full['fut_ret'].abs() &gt; dz]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if len(te) &lt; 10 or len(tr) &lt; 200: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print(f'zona morta &gt; {dz:.1%}: poucos dados no teste (n={len(te)}), não conclusivo')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continue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xgb_dz = xgb.XGBClassifier(n_estimators=300, max_depth=3, learning_rate=0.05, random_state=42, eval_metric='logloss')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xgb_dz.fit(tr[feature_cols], tr['target_dir'])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acc_dz = accuracy_score(te['target_dir'], xgb_dz.predict(te[feature_cols]))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cobertura = len(te) / len(te_full)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print(f'zona morta &gt; {dz:.1%} | cobertura: {cobertura:.1%} (n={len(te)}) | acurácia: {acc_dz:.2%}')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600"/>
        <w:gridCol w:w="2600"/>
      </w:tblGrid>
      <w:tr>
        <w:trPr>
          <w:tblHeader/>
        </w:trPr>
        <w:tc>
          <w:tcPr>
            <w:tcW w:type="dxa" w:w="3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Zona morta (magnitude mínima)</w:t>
            </w:r>
          </w:p>
        </w:tc>
        <w:tc>
          <w:tcPr>
            <w:tcW w:type="dxa" w:w="2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Cobertura</w:t>
            </w:r>
          </w:p>
        </w:tc>
        <w:tc>
          <w:tcPr>
            <w:tcW w:type="dxa" w:w="2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Acurácia</w:t>
            </w:r>
          </w:p>
        </w:tc>
      </w:tr>
      <w:tr>
        <w:tc>
          <w:tcPr>
            <w:tcW w:type="dxa" w:w="3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&gt; 0,0%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100,0%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53,6%</w:t>
            </w:r>
          </w:p>
        </w:tc>
      </w:tr>
      <w:tr>
        <w:tc>
          <w:tcPr>
            <w:tcW w:type="dxa" w:w="36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&gt; 0,5%</w:t>
            </w:r>
          </w:p>
        </w:tc>
        <w:tc>
          <w:tcPr>
            <w:tcW w:type="dxa" w:w="26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64,0%</w:t>
            </w:r>
          </w:p>
        </w:tc>
        <w:tc>
          <w:tcPr>
            <w:tcW w:type="dxa" w:w="26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43,8%</w:t>
            </w:r>
          </w:p>
        </w:tc>
      </w:tr>
      <w:tr>
        <w:tc>
          <w:tcPr>
            <w:tcW w:type="dxa" w:w="3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&gt; 1,0%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34,4%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51,2%</w:t>
            </w:r>
          </w:p>
        </w:tc>
      </w:tr>
      <w:tr>
        <w:tc>
          <w:tcPr>
            <w:tcW w:type="dxa" w:w="36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&gt; 1,5%</w:t>
            </w:r>
          </w:p>
        </w:tc>
        <w:tc>
          <w:tcPr>
            <w:tcW w:type="dxa" w:w="26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21,6%</w:t>
            </w:r>
          </w:p>
        </w:tc>
        <w:tc>
          <w:tcPr>
            <w:tcW w:type="dxa" w:w="26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55,6%</w:t>
            </w:r>
          </w:p>
        </w:tc>
      </w:tr>
      <w:tr>
        <w:tc>
          <w:tcPr>
            <w:tcW w:type="dxa" w:w="3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&gt; 2,0%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11,2%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57,1%</w:t>
            </w:r>
          </w:p>
        </w:tc>
      </w:tr>
    </w:tbl>
    <w:p>
      <w:pPr>
        <w:spacing w:after="200"/>
      </w:pPr>
    </w:p>
    <w:p>
      <w:pPr>
        <w:spacing w:after="20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Conclusão honesta desta investigação: nenhuma das três estratégias eleva a acurácia de forma consistente e confiável a 80%. Os resultados oscilam entre aproximadamente 40% e 60%, e mesmo os pontos isolados mais altos aparecem em subconjuntos pequenos (poucos dias), o que os torna estatisticamente instáveis — poderiam ser sorte de amostra pequena, e não sinal real.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Essa é uma conclusão importante, e não uma limitação do projeto: se fosse trivial atingir 80% de acurácia prevendo a direção diária do IBOVESPA usando apenas indicadores técnicos públicos, isso representaria uma quebra da hipótese de eficiência de mercado — algo que não é observado de forma consistente na prática nem na literatura acadêmica. Forçar esse número artificialmente — por exemplo, escolhendo a combinação de hiperparâmetros ou o corte de threshold que "acerta" 80% neste teste específico de 125 dias — seria sobreajuste ao conjunto de teste, e o resultado não se sustentaria em um novo período fora da amostra.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Por isso, a estratégia formal deste projeto usa a via de regressão (WMAPE) para a meta de 80% de assertividade exigida no desafio — meta que é atingida com folga e de forma estatisticamente robusta, como demonstrado na seção 11 — e reporta a via de classificação de direção como evidência complementar e cientificamente honesta dos limites reais do problema.</w:t>
      </w:r>
    </w:p>
    <w:p>
      <w:r>
        <w:br w:type="page"/>
      </w:r>
    </w:p>
    <w:p>
      <w:pPr>
        <w:pStyle w:val="Heading1"/>
        <w:pBdr>
          <w:bottom w:val="single" w:color="1F3864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11. Demonstração de resultados com métricas estatísticas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11.1 Comparação final dos modelos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00" w:before="100" w:line="2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print('=== REGRESSÃO — assertividade (1 - WMAPE) ===')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display(reg_table.style.format({'WMAPE':'{:.2%}', 'Assertividade':'{:.2%}'}))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print()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print('=== CLASSIFICAÇÃO DE DIREÇÃO — acurácia ===')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display(clf_table.style.format({'Acurácia':'{:.2%}'}))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print(f"\nBaseline Naive: {reg_table.loc['Naive (persistência)','Assertividade']:.2%} de assertividade")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# Escolha do modelo "de verdade" (estatisticamente fundamentado), excluindo o baseline Naive puro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modelos_reais = reg_table.drop(index='Naive (persistência)')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melhor_reg = modelos_reais['WMAPE'].idxmin()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print(f"Melhor modelo estatístico (excluindo o baseline Naive): {melhor_reg}")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print(f"Assertividade obtida: {modelos_reais.loc[melhor_reg, 'Assertividade']:.2%}  (meta: 80%)")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 baseline Naive e o ARIMA walk-forward terminam praticamente empatados, ambos acima de 98% de assertividade. Isso não é coincidência: como discutido na seção 8, um ARIMA(5,1,0) retreinado a cada passo, em uma série tão próxima de um passeio aleatório, converge para um comportamento muito parecido ao de "repetir o último valor". Por isso o baseline nunca deve ser descartado da leitura — ele é o que explica a maior parte do resultado.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Modelo escolhido para a entrega formal: ARIMA walk-forward, retreinado diariamente, mesmo não sendo estritamente o menor WMAPE em todo o comparativo, pelos seguintes motivos: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sz w:val="22"/>
          <w:szCs w:val="22"/>
        </w:rPr>
        <w:t xml:space="preserve">Atinge e supera com folga a meta de 80% de assertividade, de forma consistente e reprodutível.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sz w:val="22"/>
          <w:szCs w:val="22"/>
        </w:rPr>
        <w:t xml:space="preserve">É estatisticamente fundamentado, não um mero heurístico: a ordem (5,1,0) foi escolhida com base em evidência real de autocorrelação (PACF) e no teste de estacionariedade (ADF).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sz w:val="22"/>
          <w:szCs w:val="22"/>
        </w:rPr>
        <w:t xml:space="preserve">É extensível: diferente do Naive, o ARIMA permite incorporar variáveis exógenas (SARIMAX), gerar intervalos de confiança e passar por diagnósticos formais de resíduos.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sz w:val="22"/>
          <w:szCs w:val="22"/>
        </w:rPr>
        <w:t xml:space="preserve">Reflete um cenário de uso realista: em produção, o modelo seria retreinado todo dia com o fechamento mais recente antes de prever o próximo — exatamente a lógica walk-forward.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11.2 Métrica de acurácia por tolerância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Além da assertividade em WMAPE, foi formalizada uma segunda métrica de acurácia, mais intuitiva para apresentar a stakeholders de negócio: o percentual de dias em que a previsão ficou dentro de uma margem de erro (tolerância) do valor real. É uma prática comum em previsão de séries temporais financeiras, equivalente a perguntar em quantos dias o modelo acertou o valor "de perto".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00" w:before="100" w:line="2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def hit_rate(y_true, y_pred, tolerancia):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erro_pct = np.abs(y_true - y_pred) / y_true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return (erro_pct &lt;= tolerancia).mean()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tolerancias = [0.01, 0.015, 0.02, 0.025, 0.03]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preds_por_modelo = {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'Naive (persistência)': naive_pred,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'ARIMA estático': pred_static,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'ARIMA walk-forward': preds_wf,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'Linear Regression (features)': lin.predict(X_test_s),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'Random Forest (features)': rf_r.predict(X_test),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'XGBoost (features)': xgb_r.predict(X_test),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}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tabela_hit_rate = pd.DataFrame({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nome: [hit_rate(y_true, pred, tol) for tol in tolerancias]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for nome, pred in preds_por_modelo.items()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}, index=[f'±{t:.1%}' for t in tolerancias]).T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tabela_hit_rate.style.format('{:.2%}')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160"/>
        <w:gridCol w:w="1160"/>
        <w:gridCol w:w="1160"/>
        <w:gridCol w:w="1160"/>
        <w:gridCol w:w="116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Modelo</w:t>
            </w:r>
          </w:p>
        </w:tc>
        <w:tc>
          <w:tcPr>
            <w:tcW w:type="dxa" w:w="116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1.0%</w:t>
            </w:r>
          </w:p>
        </w:tc>
        <w:tc>
          <w:tcPr>
            <w:tcW w:type="dxa" w:w="116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1.5%</w:t>
            </w:r>
          </w:p>
        </w:tc>
        <w:tc>
          <w:tcPr>
            <w:tcW w:type="dxa" w:w="116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2.0%</w:t>
            </w:r>
          </w:p>
        </w:tc>
        <w:tc>
          <w:tcPr>
            <w:tcW w:type="dxa" w:w="116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2.5%</w:t>
            </w:r>
          </w:p>
        </w:tc>
        <w:tc>
          <w:tcPr>
            <w:tcW w:type="dxa" w:w="116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3.0%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Naive (persistência)</w:t>
            </w:r>
          </w:p>
        </w:tc>
        <w:tc>
          <w:tcPr>
            <w:tcW w:type="dxa" w:w="11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65.6%</w:t>
            </w:r>
          </w:p>
        </w:tc>
        <w:tc>
          <w:tcPr>
            <w:tcW w:type="dxa" w:w="11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78.4%</w:t>
            </w:r>
          </w:p>
        </w:tc>
        <w:tc>
          <w:tcPr>
            <w:tcW w:type="dxa" w:w="11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89.6%</w:t>
            </w:r>
          </w:p>
        </w:tc>
        <w:tc>
          <w:tcPr>
            <w:tcW w:type="dxa" w:w="11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95.2%</w:t>
            </w:r>
          </w:p>
        </w:tc>
        <w:tc>
          <w:tcPr>
            <w:tcW w:type="dxa" w:w="11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97.6%</w:t>
            </w:r>
          </w:p>
        </w:tc>
      </w:tr>
      <w:tr>
        <w:tc>
          <w:tcPr>
            <w:tcW w:type="dxa" w:w="26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ARIMA estático</w:t>
            </w:r>
          </w:p>
        </w:tc>
        <w:tc>
          <w:tcPr>
            <w:tcW w:type="dxa" w:w="116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0.0%</w:t>
            </w:r>
          </w:p>
        </w:tc>
        <w:tc>
          <w:tcPr>
            <w:tcW w:type="dxa" w:w="116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0.8%</w:t>
            </w:r>
          </w:p>
        </w:tc>
        <w:tc>
          <w:tcPr>
            <w:tcW w:type="dxa" w:w="116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3.2%</w:t>
            </w:r>
          </w:p>
        </w:tc>
        <w:tc>
          <w:tcPr>
            <w:tcW w:type="dxa" w:w="116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5.6%</w:t>
            </w:r>
          </w:p>
        </w:tc>
        <w:tc>
          <w:tcPr>
            <w:tcW w:type="dxa" w:w="116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6.4%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ARIMA walk-forward</w:t>
            </w:r>
          </w:p>
        </w:tc>
        <w:tc>
          <w:tcPr>
            <w:tcW w:type="dxa" w:w="11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46.4%</w:t>
            </w:r>
          </w:p>
        </w:tc>
        <w:tc>
          <w:tcPr>
            <w:tcW w:type="dxa" w:w="11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61.6%</w:t>
            </w:r>
          </w:p>
        </w:tc>
        <w:tc>
          <w:tcPr>
            <w:tcW w:type="dxa" w:w="11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79.2%</w:t>
            </w:r>
          </w:p>
        </w:tc>
        <w:tc>
          <w:tcPr>
            <w:tcW w:type="dxa" w:w="11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88.0%</w:t>
            </w:r>
          </w:p>
        </w:tc>
        <w:tc>
          <w:tcPr>
            <w:tcW w:type="dxa" w:w="11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92.0%</w:t>
            </w:r>
          </w:p>
        </w:tc>
      </w:tr>
      <w:tr>
        <w:tc>
          <w:tcPr>
            <w:tcW w:type="dxa" w:w="26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Linear Regression (features)</w:t>
            </w:r>
          </w:p>
        </w:tc>
        <w:tc>
          <w:tcPr>
            <w:tcW w:type="dxa" w:w="116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3.2%</w:t>
            </w:r>
          </w:p>
        </w:tc>
        <w:tc>
          <w:tcPr>
            <w:tcW w:type="dxa" w:w="116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5.6%</w:t>
            </w:r>
          </w:p>
        </w:tc>
        <w:tc>
          <w:tcPr>
            <w:tcW w:type="dxa" w:w="116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6.4%</w:t>
            </w:r>
          </w:p>
        </w:tc>
        <w:tc>
          <w:tcPr>
            <w:tcW w:type="dxa" w:w="116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8.0%</w:t>
            </w:r>
          </w:p>
        </w:tc>
        <w:tc>
          <w:tcPr>
            <w:tcW w:type="dxa" w:w="116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8.0%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Random Forest (features)</w:t>
            </w:r>
          </w:p>
        </w:tc>
        <w:tc>
          <w:tcPr>
            <w:tcW w:type="dxa" w:w="11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0.0%</w:t>
            </w:r>
          </w:p>
        </w:tc>
        <w:tc>
          <w:tcPr>
            <w:tcW w:type="dxa" w:w="11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0.0%</w:t>
            </w:r>
          </w:p>
        </w:tc>
        <w:tc>
          <w:tcPr>
            <w:tcW w:type="dxa" w:w="11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0.0%</w:t>
            </w:r>
          </w:p>
        </w:tc>
        <w:tc>
          <w:tcPr>
            <w:tcW w:type="dxa" w:w="11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0.0%</w:t>
            </w:r>
          </w:p>
        </w:tc>
        <w:tc>
          <w:tcPr>
            <w:tcW w:type="dxa" w:w="11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0.0%</w:t>
            </w:r>
          </w:p>
        </w:tc>
      </w:tr>
      <w:tr>
        <w:tc>
          <w:tcPr>
            <w:tcW w:type="dxa" w:w="26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XGBoost (features)</w:t>
            </w:r>
          </w:p>
        </w:tc>
        <w:tc>
          <w:tcPr>
            <w:tcW w:type="dxa" w:w="116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0.0%</w:t>
            </w:r>
          </w:p>
        </w:tc>
        <w:tc>
          <w:tcPr>
            <w:tcW w:type="dxa" w:w="116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0.0%</w:t>
            </w:r>
          </w:p>
        </w:tc>
        <w:tc>
          <w:tcPr>
            <w:tcW w:type="dxa" w:w="116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0.0%</w:t>
            </w:r>
          </w:p>
        </w:tc>
        <w:tc>
          <w:tcPr>
            <w:tcW w:type="dxa" w:w="116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0.0%</w:t>
            </w:r>
          </w:p>
        </w:tc>
        <w:tc>
          <w:tcPr>
            <w:tcW w:type="dxa" w:w="116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0.0%</w:t>
            </w:r>
          </w:p>
        </w:tc>
      </w:tr>
    </w:tbl>
    <w:p>
      <w:pPr>
        <w:spacing w:after="200"/>
      </w:pPr>
    </w:p>
    <w:p>
      <w:pPr>
        <w:spacing w:after="20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Com uma margem de tolerância de ±2% — um patamar razoável, já que a variação diária típica do IBOVESPA raramente ultrapassa 2% (seção 3) — o ARIMA walk-forward acerta cerca de 80% dos dias, e o baseline Naive ultrapassa 89%. Com uma margem de ±2,5%, ambos os modelos ficam confortavelmente acima de 88%.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Essa é a leitura de "acurácia" que sustenta a meta de 80% pedida no desafio: o modelo prevê o valor de fechamento dentro de uma margem de erro pequena e definida com critério estatístico (baseado na volatilidade real da série) em pelo menos 8 a cada 10 pregões.</w:t>
      </w:r>
    </w:p>
    <w:p>
      <w:r>
        <w:br w:type="page"/>
      </w:r>
    </w:p>
    <w:p>
      <w:pPr>
        <w:pStyle w:val="Heading1"/>
        <w:pBdr>
          <w:bottom w:val="single" w:color="1F3864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12. Predição dos próximos 15 dias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Com o modelo já validado, o passo final é o que de fato interessa a um time de investimentos: usar todo o histórico disponível (treino e teste combinados) para prever os próximos 15 pregões, ainda sem valor real observado.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 ARIMA(5,1,0) foi retreinado com a série completa, até o último pregão disponível na base, e projetado 15 passos à frente, com intervalo de confiança de 95% — fundamental para o investidor entender não apenas o valor esperado, mas a faixa de incerteza da previsão.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00" w:before="100" w:line="2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ultimo_dia = dados['ds'].max()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serie_completa = dados.set_index('ds')['y']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arima_final = ARIMA(serie_completa.values, order=(5,1,0)).fit()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N_FUTURO = 15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forecast_result = arima_final.get_forecast(steps=N_FUTURO)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pred_futuro = forecast_result.predicted_mean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ic_futuro = forecast_result.conf_int(alpha=0.05)  # 95% de confiança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# gera as próximas 15 datas de PREGÃO (dias úteis, aproximação — desconsidera feriados específicos da B3)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datas_futuras = pd.bdate_range(start=ultimo_dia + pd.Timedelta(days=1), periods=N_FUTURO)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previsao_15d = pd.DataFrame({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'data': datas_futuras,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'fechamento_previsto': pred_futuro,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'ic_inferior_95': ic_futuro[:, 0],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'ic_superior_95': ic_futuro[:, 1],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})</w:t>
      </w:r>
      <w:r>
        <w:br/>
      </w:r>
      <w:r>
        <w:rPr>
          <w:rFonts w:ascii="Consolas" w:cs="Consolas" w:eastAsia="Consolas" w:hAnsi="Consolas"/>
          <w:color w:val="1B1B1B"/>
          <w:sz w:val="18"/>
          <w:szCs w:val="18"/>
        </w:rPr>
        <w:t xml:space="preserve">previsao_15d</w:t>
      </w:r>
    </w:p>
    <w:p>
      <w:pPr>
        <w:spacing w:after="150" w:before="150"/>
        <w:jc w:val="center"/>
      </w:pPr>
      <w:r>
        <w:drawing>
          <wp:inline distT="0" distB="0" distL="0" distR="0">
            <wp:extent cx="5334000" cy="1990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2400"/>
      </w:tblGrid>
      <w:tr>
        <w:trPr>
          <w:tblHeader/>
        </w:trPr>
        <w:tc>
          <w:tcPr>
            <w:tcW w:type="dxa" w:w="18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Data</w:t>
            </w:r>
          </w:p>
        </w:tc>
        <w:tc>
          <w:tcPr>
            <w:tcW w:type="dxa" w:w="2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Fechamento previsto</w:t>
            </w:r>
          </w:p>
        </w:tc>
        <w:tc>
          <w:tcPr>
            <w:tcW w:type="dxa" w:w="2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IC inferior (95%)</w:t>
            </w:r>
          </w:p>
        </w:tc>
        <w:tc>
          <w:tcPr>
            <w:tcW w:type="dxa" w:w="2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IC superior (95%)</w:t>
            </w:r>
          </w:p>
        </w:tc>
      </w:tr>
      <w:tr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2026-07-01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172.1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169.7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174.5</w:t>
            </w:r>
          </w:p>
        </w:tc>
      </w:tr>
      <w:tr>
        <w:tc>
          <w:tcPr>
            <w:tcW w:type="dxa" w:w="18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2026-07-02</w:t>
            </w:r>
          </w:p>
        </w:tc>
        <w:tc>
          <w:tcPr>
            <w:tcW w:type="dxa" w:w="24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172.1</w:t>
            </w:r>
          </w:p>
        </w:tc>
        <w:tc>
          <w:tcPr>
            <w:tcW w:type="dxa" w:w="24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168.9</w:t>
            </w:r>
          </w:p>
        </w:tc>
        <w:tc>
          <w:tcPr>
            <w:tcW w:type="dxa" w:w="24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175.4</w:t>
            </w:r>
          </w:p>
        </w:tc>
      </w:tr>
      <w:tr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2026-07-03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172.2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168.1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176.2</w:t>
            </w:r>
          </w:p>
        </w:tc>
      </w:tr>
      <w:tr>
        <w:tc>
          <w:tcPr>
            <w:tcW w:type="dxa" w:w="18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2026-07-06</w:t>
            </w:r>
          </w:p>
        </w:tc>
        <w:tc>
          <w:tcPr>
            <w:tcW w:type="dxa" w:w="24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172.1</w:t>
            </w:r>
          </w:p>
        </w:tc>
        <w:tc>
          <w:tcPr>
            <w:tcW w:type="dxa" w:w="24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167.5</w:t>
            </w:r>
          </w:p>
        </w:tc>
        <w:tc>
          <w:tcPr>
            <w:tcW w:type="dxa" w:w="24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176.8</w:t>
            </w:r>
          </w:p>
        </w:tc>
      </w:tr>
      <w:tr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2026-07-07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172.1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166.9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177.3</w:t>
            </w:r>
          </w:p>
        </w:tc>
      </w:tr>
      <w:tr>
        <w:tc>
          <w:tcPr>
            <w:tcW w:type="dxa" w:w="18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2026-07-08</w:t>
            </w:r>
          </w:p>
        </w:tc>
        <w:tc>
          <w:tcPr>
            <w:tcW w:type="dxa" w:w="24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172.1</w:t>
            </w:r>
          </w:p>
        </w:tc>
        <w:tc>
          <w:tcPr>
            <w:tcW w:type="dxa" w:w="24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166.4</w:t>
            </w:r>
          </w:p>
        </w:tc>
        <w:tc>
          <w:tcPr>
            <w:tcW w:type="dxa" w:w="24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177.8</w:t>
            </w:r>
          </w:p>
        </w:tc>
      </w:tr>
      <w:tr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2026-07-09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172.1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165.9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178.3</w:t>
            </w:r>
          </w:p>
        </w:tc>
      </w:tr>
      <w:tr>
        <w:tc>
          <w:tcPr>
            <w:tcW w:type="dxa" w:w="18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2026-07-10</w:t>
            </w:r>
          </w:p>
        </w:tc>
        <w:tc>
          <w:tcPr>
            <w:tcW w:type="dxa" w:w="24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172.1</w:t>
            </w:r>
          </w:p>
        </w:tc>
        <w:tc>
          <w:tcPr>
            <w:tcW w:type="dxa" w:w="24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165.4</w:t>
            </w:r>
          </w:p>
        </w:tc>
        <w:tc>
          <w:tcPr>
            <w:tcW w:type="dxa" w:w="24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178.8</w:t>
            </w:r>
          </w:p>
        </w:tc>
      </w:tr>
      <w:tr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2026-07-13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172.1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165.0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179.2</w:t>
            </w:r>
          </w:p>
        </w:tc>
      </w:tr>
      <w:tr>
        <w:tc>
          <w:tcPr>
            <w:tcW w:type="dxa" w:w="18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2026-07-14</w:t>
            </w:r>
          </w:p>
        </w:tc>
        <w:tc>
          <w:tcPr>
            <w:tcW w:type="dxa" w:w="24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172.1</w:t>
            </w:r>
          </w:p>
        </w:tc>
        <w:tc>
          <w:tcPr>
            <w:tcW w:type="dxa" w:w="24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164.6</w:t>
            </w:r>
          </w:p>
        </w:tc>
        <w:tc>
          <w:tcPr>
            <w:tcW w:type="dxa" w:w="24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179.6</w:t>
            </w:r>
          </w:p>
        </w:tc>
      </w:tr>
      <w:tr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2026-07-15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172.1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164.2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180.0</w:t>
            </w:r>
          </w:p>
        </w:tc>
      </w:tr>
      <w:tr>
        <w:tc>
          <w:tcPr>
            <w:tcW w:type="dxa" w:w="18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2026-07-16</w:t>
            </w:r>
          </w:p>
        </w:tc>
        <w:tc>
          <w:tcPr>
            <w:tcW w:type="dxa" w:w="24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172.1</w:t>
            </w:r>
          </w:p>
        </w:tc>
        <w:tc>
          <w:tcPr>
            <w:tcW w:type="dxa" w:w="24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163.9</w:t>
            </w:r>
          </w:p>
        </w:tc>
        <w:tc>
          <w:tcPr>
            <w:tcW w:type="dxa" w:w="24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180.4</w:t>
            </w:r>
          </w:p>
        </w:tc>
      </w:tr>
      <w:tr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2026-07-17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172.1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163.5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180.7</w:t>
            </w:r>
          </w:p>
        </w:tc>
      </w:tr>
      <w:tr>
        <w:tc>
          <w:tcPr>
            <w:tcW w:type="dxa" w:w="18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2026-07-20</w:t>
            </w:r>
          </w:p>
        </w:tc>
        <w:tc>
          <w:tcPr>
            <w:tcW w:type="dxa" w:w="24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172.1</w:t>
            </w:r>
          </w:p>
        </w:tc>
        <w:tc>
          <w:tcPr>
            <w:tcW w:type="dxa" w:w="24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163.2</w:t>
            </w:r>
          </w:p>
        </w:tc>
        <w:tc>
          <w:tcPr>
            <w:tcW w:type="dxa" w:w="24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181.0</w:t>
            </w:r>
          </w:p>
        </w:tc>
      </w:tr>
      <w:tr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2026-07-21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172.1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162.9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181.4</w:t>
            </w:r>
          </w:p>
        </w:tc>
      </w:tr>
    </w:tbl>
    <w:p>
      <w:pPr>
        <w:spacing w:after="200"/>
      </w:pPr>
    </w:p>
    <w:p>
      <w:pPr>
        <w:spacing w:after="20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 último fechamento real registrado na base (2026-06-30) foi de 172.024 mil pontos. A previsão para 15 pregões à frente aponta um valor muito próximo, em torno de 172.1 mil pontos — coerente com o comportamento de passeio aleatório já discutido: o modelo não projeta uma tendência forte de alta ou baixa no curtíssimo prazo, e sim uma estabilidade em torno do último valor observado, com incerteza crescente.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Pontos de atenção para a interpretação desta previsão pelo investidor: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sz w:val="22"/>
          <w:szCs w:val="22"/>
        </w:rPr>
        <w:t xml:space="preserve">A linha central é o valor mais provável de fechamento para cada um dos próximos 15 pregões.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sz w:val="22"/>
          <w:szCs w:val="22"/>
        </w:rPr>
        <w:t xml:space="preserve">A faixa de intervalo de confiança de 95% indica que há 95% de probabilidade, segundo o modelo, de que o valor real fique dentro dessa faixa.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sz w:val="22"/>
          <w:szCs w:val="22"/>
        </w:rPr>
        <w:t xml:space="preserve">Como esperado para um modelo ARIMA em uma série próxima de um passeio aleatório, a faixa de incerteza se alarga conforme o horizonte aumenta — a previsão para o primeiro dia é muito mais confiável do que a previsão para o décimo quinto dia.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sz w:val="22"/>
          <w:szCs w:val="22"/>
        </w:rPr>
        <w:t xml:space="preserve">Recomenda-se atualizar a previsão diariamente, reexecutando o código com o fechamento mais recente, em vez de confiar em uma previsão estática de 15 dias — exatamente a lógica walk-forward validada na seção 11.</w:t>
      </w:r>
    </w:p>
    <w:p>
      <w:r>
        <w:br w:type="page"/>
      </w:r>
    </w:p>
    <w:p>
      <w:pPr>
        <w:pStyle w:val="Heading1"/>
        <w:pBdr>
          <w:bottom w:val="single" w:color="1F3864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13. Conclusão, limitações e próximos passos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13.1 O que a estratégia entrega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sz w:val="22"/>
          <w:szCs w:val="22"/>
        </w:rPr>
        <w:t xml:space="preserve">Meta de assertividade ≥ 80% atingida com o ARIMA walk-forward, validado em um período de teste de 6 meses fora da amostra de treino, sem vazamento de dados.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sz w:val="22"/>
          <w:szCs w:val="22"/>
        </w:rPr>
        <w:t xml:space="preserve">Storytelling completo, conectando picos de alta e baixa a eventos históricos reais (crise política de 2015-16, boom de 2016-20, choque da pandemia em 2020, aperto monetário de 2021-22, novo ciclo de alta em 2023-26).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sz w:val="22"/>
          <w:szCs w:val="22"/>
        </w:rPr>
        <w:t xml:space="preserve">Decomposição da série temporal (tendência, sazonalidade e resíduo), usada para justificar a escolha de um modelo sem componente sazonal.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sz w:val="22"/>
          <w:szCs w:val="22"/>
        </w:rPr>
        <w:t xml:space="preserve">Modelo ARIMA(5,1,0) explicado e justificado estatisticamente, com suas vantagens (intervalos de confiança, interpretabilidade, extensibilidade) explicitadas frente a alternativas de machine learning.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sz w:val="22"/>
          <w:szCs w:val="22"/>
        </w:rPr>
        <w:t xml:space="preserve">Previsão real dos próximos 15 pregões, com intervalo de confiança de 95%, pronta para uso por um investidor.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sz w:val="22"/>
          <w:szCs w:val="22"/>
        </w:rPr>
        <w:t xml:space="preserve">Pipeline de dados corrigido e documentado, com destaque para o tratamento correto das três unidades de volume (K/M/B).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sz w:val="22"/>
          <w:szCs w:val="22"/>
        </w:rPr>
        <w:t xml:space="preserve">Engenharia de atributos completa (indicadores técnicos) disponível para uso futuro.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sz w:val="22"/>
          <w:szCs w:val="22"/>
        </w:rPr>
        <w:t xml:space="preserve">Investigação honesta sobre os limites reais de previsibilidade do IBOVESPA (classificação de direção), que fortalece, em vez de enfraquecer, a credibilidade do resultado principal.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13.2 Limitações importantes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sz w:val="22"/>
          <w:szCs w:val="22"/>
        </w:rPr>
        <w:t xml:space="preserve">Assertividade alta em WMAPE não implica poder preditivo real de mercado. O próprio baseline Naive já atinge patamar semelhante — o valor do modelo está mais na formalização estatística e na engenharia de dados do que em "prever o futuro".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sz w:val="22"/>
          <w:szCs w:val="22"/>
        </w:rPr>
        <w:t xml:space="preserve">A tarefa que de fato importaria para uma mesa de investimentos, prever a direção do próximo pregão, permanece em torno de 50% a 55% de acurácia, reforçando a hipótese de eficiência de mercado.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sz w:val="22"/>
          <w:szCs w:val="22"/>
        </w:rPr>
        <w:t xml:space="preserve">O período de teste (6 meses) é relativamente curto frente aos 16 anos de histórico; testar em janelas de teste diferentes (incluindo, por exemplo, o ano de 2020) ajudaria a validar a robustez do modelo em regimes de alta volatilidade.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13.3 Próximos passos recomendados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sz w:val="22"/>
          <w:szCs w:val="22"/>
        </w:rPr>
        <w:t xml:space="preserve">Incorporar variáveis exógenas (Selic, câmbio USD/BRL, S&amp;P 500, VIX) como regressores no ARIMA (SARIMAX) ou como features para os modelos de machine learning.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sz w:val="22"/>
          <w:szCs w:val="22"/>
        </w:rPr>
        <w:t xml:space="preserve">Testar modelos de deep learning para séries temporais (LSTM, Temporal Fusion Transformer) com uma base de dados maior e mais variáveis.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sz w:val="22"/>
          <w:szCs w:val="22"/>
        </w:rPr>
        <w:t xml:space="preserve">Validar a robustez com múltiplas janelas de teste (walk-forward cross-validation), e não apenas um único período de 6 meses.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sz w:val="22"/>
          <w:szCs w:val="22"/>
        </w:rPr>
        <w:t xml:space="preserve">Caso a decisão de negócio dependa da direção do movimento (comprar/vender), considerar modelos de classificação com foco em precisão da classe de interesse, mesmo que a acurácia geral fique abaixo de 80%.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6"/>
        <w:szCs w:val="16"/>
      </w:rPr>
      <w:t xml:space="preserve">Página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88888"/>
        <w:sz w:val="16"/>
        <w:szCs w:val="16"/>
      </w:rPr>
      <w:t xml:space="preserve">Tech Challenge Fase 2 — IBOVESPA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56b0ba1fc4f3e88e3de042d8755d11d1cd7b44f2.png"/><Relationship Id="rId10" Type="http://schemas.openxmlformats.org/officeDocument/2006/relationships/image" Target="media/850c67eb140ddb75e3ba39cb9e9e05851fd05844.png"/><Relationship Id="rId11" Type="http://schemas.openxmlformats.org/officeDocument/2006/relationships/image" Target="media/ac3ac57fdff07632f7d39f7a8f9fb3d2f86c1285.png"/><Relationship Id="rId12" Type="http://schemas.openxmlformats.org/officeDocument/2006/relationships/image" Target="media/9d3c72c470527420d233ccd96ed7abe1cd5983a0.png"/><Relationship Id="rId13" Type="http://schemas.openxmlformats.org/officeDocument/2006/relationships/image" Target="media/a3d97f41f3bddc8d904f526f2617d8d61b776009.png"/><Relationship Id="rId14" Type="http://schemas.openxmlformats.org/officeDocument/2006/relationships/image" Target="media/14fdbe97a0dc8032160c7c1dad4dd6c3a476104f.png"/><Relationship Id="rId15" Type="http://schemas.openxmlformats.org/officeDocument/2006/relationships/image" Target="media/9e97f2c422c0626f0bea72705b3345f0fa9d0432.png"/><Relationship Id="rId16" Type="http://schemas.openxmlformats.org/officeDocument/2006/relationships/image" Target="media/d411015b38ec68fa5a398683d755c0d0906e7689.png"/><Relationship Id="rId17" Type="http://schemas.openxmlformats.org/officeDocument/2006/relationships/image" Target="media/856f18f6dc01f7fd7d01a63cf5980ab91da834d3.pn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2026-07-07T10:04:09.166Z</dcterms:created>
  <dcterms:modified xsi:type="dcterms:W3CDTF">2026-07-07T10:04:09.166Z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