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Arial" w:cs="Arial" w:eastAsia="Arial" w:hAnsi="Arial"/>
          <w:b/>
          <w:bCs/>
          <w:color w:val="1F3864"/>
          <w:spacing w:val="40"/>
          <w:sz w:val="18"/>
          <w:szCs w:val="18"/>
        </w:rPr>
        <w:t xml:space="preserve">KESTREL PAY INC.</w:t>
      </w:r>
    </w:p>
    <w:p>
      <w:pPr>
        <w:pBdr>
          <w:bottom w:val="single" w:color="1F3864" w:sz="8" w:space="6"/>
        </w:pBdr>
        <w:spacing w:after="200"/>
      </w:pPr>
      <w:r>
        <w:rPr>
          <w:rFonts w:ascii="Arial" w:cs="Arial" w:eastAsia="Arial" w:hAnsi="Arial"/>
          <w:b/>
          <w:bCs/>
          <w:color w:val="1F3864"/>
          <w:sz w:val="30"/>
          <w:szCs w:val="30"/>
        </w:rPr>
        <w:t xml:space="preserve">Risk Committee Memorandum</w:t>
      </w:r>
    </w:p>
    <w:p>
      <w:pPr>
        <w:spacing w:after="60" w:line="264"/>
      </w:pPr>
      <w:r>
        <w:rPr>
          <w:rFonts w:ascii="Arial" w:cs="Arial" w:eastAsia="Arial" w:hAnsi="Arial"/>
          <w:color w:val="595959"/>
          <w:sz w:val="18"/>
          <w:szCs w:val="18"/>
        </w:rPr>
        <w:t xml:space="preserve">To: Risk Committee   |   From: Office of the CISO   |   Date: 30 July 2026</w:t>
      </w:r>
    </w:p>
    <w:p>
      <w:pPr>
        <w:spacing w:after="220" w:line="264"/>
      </w:pPr>
      <w:r>
        <w:rPr>
          <w:rFonts w:ascii="Arial" w:cs="Arial" w:eastAsia="Arial" w:hAnsi="Arial"/>
          <w:b/>
          <w:bCs/>
          <w:color w:val="595959"/>
          <w:sz w:val="18"/>
          <w:szCs w:val="18"/>
        </w:rPr>
        <w:t xml:space="preserve">Subject: Third-party risk register, initial assessment and proposed treatment plan</w:t>
      </w:r>
    </w:p>
    <w:p>
      <w:pPr>
        <w:spacing w:after="140" w:line="264"/>
      </w:pPr>
      <w:r>
        <w:rPr>
          <w:rFonts w:ascii="Arial" w:cs="Arial" w:eastAsia="Arial" w:hAnsi="Arial"/>
          <w:sz w:val="20"/>
          <w:szCs w:val="20"/>
        </w:rPr>
        <w:t xml:space="preserve">This is the first structured assessment of third-party risk at Kestrel Pay. It covers a vendor population of roughly 110 suppliers, of which 22 are rated critical, and produces 25 risks scored on a five-by-five likelihood and impact model with separate inherent and residual positions. The residual distribution is three High, fourteen Medium and eight Low, with nothing rated Critical.</w:t>
      </w:r>
    </w:p>
    <w:p>
      <w:pPr>
        <w:spacing w:after="140" w:line="264"/>
      </w:pPr>
      <w:r>
        <w:rPr>
          <w:rFonts w:ascii="Arial" w:cs="Arial" w:eastAsia="Arial" w:hAnsi="Arial"/>
          <w:sz w:val="20"/>
          <w:szCs w:val="20"/>
        </w:rPr>
        <w:t xml:space="preserve">The distribution understates the problem. Eight of the 25 risks show no reduction at all between inherent and residual score, because the controls recorded against them do not meaningfully address the exposure. A contractual deletion clause nobody has ever tested, a VDI requirement with no technical enforcement, and a vendor inventory maintained as a spreadsheet by Finance are documentation rather than control. The governing finding is therefore not any single vendor. It is that Kestrel has no operating third-party risk programme, and the sponsor bank's own regulatory obligations mean this will be examined rather than merely noted.</w:t>
      </w:r>
    </w:p>
    <w:p>
      <w:pPr>
        <w:spacing w:after="160" w:line="264"/>
      </w:pPr>
      <w:r>
        <w:rPr>
          <w:rFonts w:ascii="Arial" w:cs="Arial" w:eastAsia="Arial" w:hAnsi="Arial"/>
          <w:sz w:val="20"/>
          <w:szCs w:val="20"/>
        </w:rPr>
        <w:t xml:space="preserve">Three risks warrant a decision from the committee at this meeting.</w:t>
      </w:r>
    </w:p>
    <w:tbl>
      <w:tblPr>
        <w:tblW w:type="dxa" w:w="10080"/>
        <w:tblBorders>
          <w:top w:val="single" w:color="BFBFBF" w:sz="2"/>
          <w:left w:val="single" w:color="BFBFBF" w:sz="2"/>
          <w:bottom w:val="single" w:color="BFBFBF" w:sz="2"/>
          <w:right w:val="single" w:color="BFBFBF" w:sz="2"/>
          <w:insideH w:val="single" w:color="BFBFBF" w:sz="2"/>
          <w:insideV w:val="single" w:color="BFBFBF" w:sz="2"/>
        </w:tblBorders>
      </w:tblPr>
      <w:tblGrid>
        <w:gridCol w:w="900"/>
        <w:gridCol w:w="4380"/>
        <w:gridCol w:w="1200"/>
        <w:gridCol w:w="3600"/>
      </w:tblGrid>
      <w:tr>
        <w:trPr>
          <w:tblHeader/>
        </w:trPr>
        <w:tc>
          <w:tcPr>
            <w:tcW w:type="dxa" w:w="900"/>
            <w:shd w:fill="1F3864" w:color="auto" w:val="clear"/>
            <w:tcMar>
              <w:top w:type="dxa" w:w="60"/>
              <w:left w:type="dxa" w:w="100"/>
              <w:bottom w:type="dxa" w:w="60"/>
              <w:right w:type="dxa" w:w="100"/>
            </w:tcMar>
          </w:tcPr>
          <w:p>
            <w:pPr>
              <w:spacing w:after="0" w:line="240"/>
            </w:pPr>
            <w:r>
              <w:rPr>
                <w:rFonts w:ascii="Arial" w:cs="Arial" w:eastAsia="Arial" w:hAnsi="Arial"/>
                <w:b/>
                <w:bCs/>
                <w:color w:val="FFFFFF"/>
                <w:sz w:val="17"/>
                <w:szCs w:val="17"/>
              </w:rPr>
              <w:t xml:space="preserve">Risk</w:t>
            </w:r>
          </w:p>
        </w:tc>
        <w:tc>
          <w:tcPr>
            <w:tcW w:type="dxa" w:w="4380"/>
            <w:shd w:fill="1F3864" w:color="auto" w:val="clear"/>
            <w:tcMar>
              <w:top w:type="dxa" w:w="60"/>
              <w:left w:type="dxa" w:w="100"/>
              <w:bottom w:type="dxa" w:w="60"/>
              <w:right w:type="dxa" w:w="100"/>
            </w:tcMar>
          </w:tcPr>
          <w:p>
            <w:pPr>
              <w:spacing w:after="0" w:line="240"/>
            </w:pPr>
            <w:r>
              <w:rPr>
                <w:rFonts w:ascii="Arial" w:cs="Arial" w:eastAsia="Arial" w:hAnsi="Arial"/>
                <w:b/>
                <w:bCs/>
                <w:color w:val="FFFFFF"/>
                <w:sz w:val="17"/>
                <w:szCs w:val="17"/>
              </w:rPr>
              <w:t xml:space="preserve">Exposure</w:t>
            </w:r>
          </w:p>
        </w:tc>
        <w:tc>
          <w:tcPr>
            <w:tcW w:type="dxa" w:w="1200"/>
            <w:shd w:fill="1F3864" w:color="auto" w:val="clear"/>
            <w:tcMar>
              <w:top w:type="dxa" w:w="60"/>
              <w:left w:type="dxa" w:w="100"/>
              <w:bottom w:type="dxa" w:w="60"/>
              <w:right w:type="dxa" w:w="100"/>
            </w:tcMar>
          </w:tcPr>
          <w:p>
            <w:pPr>
              <w:spacing w:after="0" w:line="240"/>
              <w:jc w:val="center"/>
            </w:pPr>
            <w:r>
              <w:rPr>
                <w:rFonts w:ascii="Arial" w:cs="Arial" w:eastAsia="Arial" w:hAnsi="Arial"/>
                <w:b/>
                <w:bCs/>
                <w:color w:val="FFFFFF"/>
                <w:sz w:val="17"/>
                <w:szCs w:val="17"/>
              </w:rPr>
              <w:t xml:space="preserve">Residual</w:t>
            </w:r>
          </w:p>
        </w:tc>
        <w:tc>
          <w:tcPr>
            <w:tcW w:type="dxa" w:w="3600"/>
            <w:shd w:fill="1F3864" w:color="auto" w:val="clear"/>
            <w:tcMar>
              <w:top w:type="dxa" w:w="60"/>
              <w:left w:type="dxa" w:w="100"/>
              <w:bottom w:type="dxa" w:w="60"/>
              <w:right w:type="dxa" w:w="100"/>
            </w:tcMar>
          </w:tcPr>
          <w:p>
            <w:pPr>
              <w:spacing w:after="0" w:line="240"/>
            </w:pPr>
            <w:r>
              <w:rPr>
                <w:rFonts w:ascii="Arial" w:cs="Arial" w:eastAsia="Arial" w:hAnsi="Arial"/>
                <w:b/>
                <w:bCs/>
                <w:color w:val="FFFFFF"/>
                <w:sz w:val="17"/>
                <w:szCs w:val="17"/>
              </w:rPr>
              <w:t xml:space="preserve">Decision requested</w:t>
            </w:r>
          </w:p>
        </w:tc>
      </w:tr>
      <w:tr>
        <w:trPr>
          <w:tblHeader w:val="false"/>
        </w:trPr>
        <w:tc>
          <w:tcPr>
            <w:tcW w:type="dxa" w:w="900"/>
            <w:tcMar>
              <w:top w:type="dxa" w:w="60"/>
              <w:left w:type="dxa" w:w="100"/>
              <w:bottom w:type="dxa" w:w="60"/>
              <w:right w:type="dxa" w:w="100"/>
            </w:tcMar>
          </w:tcPr>
          <w:p>
            <w:pPr>
              <w:spacing w:after="0" w:line="240"/>
            </w:pPr>
            <w:r>
              <w:rPr>
                <w:rFonts w:ascii="Arial" w:cs="Arial" w:eastAsia="Arial" w:hAnsi="Arial"/>
                <w:b w:val="false"/>
                <w:bCs w:val="false"/>
                <w:color w:val="000000"/>
                <w:sz w:val="17"/>
                <w:szCs w:val="17"/>
              </w:rPr>
              <w:t xml:space="preserve">TPR-023</w:t>
            </w:r>
          </w:p>
        </w:tc>
        <w:tc>
          <w:tcPr>
            <w:tcW w:type="dxa" w:w="4380"/>
            <w:tcMar>
              <w:top w:type="dxa" w:w="60"/>
              <w:left w:type="dxa" w:w="100"/>
              <w:bottom w:type="dxa" w:w="60"/>
              <w:right w:type="dxa" w:w="100"/>
            </w:tcMar>
          </w:tcPr>
          <w:p>
            <w:pPr>
              <w:spacing w:after="0" w:line="240"/>
            </w:pPr>
            <w:r>
              <w:rPr>
                <w:rFonts w:ascii="Arial" w:cs="Arial" w:eastAsia="Arial" w:hAnsi="Arial"/>
                <w:b w:val="false"/>
                <w:bCs w:val="false"/>
                <w:color w:val="000000"/>
                <w:sz w:val="17"/>
                <w:szCs w:val="17"/>
              </w:rPr>
              <w:t xml:space="preserve">No annual reassessment cycle exists for the 22 critical vendors. Assurance reports are collected at onboarding only and several are more than 18 months stale.</w:t>
            </w:r>
          </w:p>
        </w:tc>
        <w:tc>
          <w:tcPr>
            <w:tcW w:type="dxa" w:w="1200"/>
            <w:tcMar>
              <w:top w:type="dxa" w:w="60"/>
              <w:left w:type="dxa" w:w="100"/>
              <w:bottom w:type="dxa" w:w="60"/>
              <w:right w:type="dxa" w:w="100"/>
            </w:tcMar>
          </w:tcPr>
          <w:p>
            <w:pPr>
              <w:spacing w:after="0" w:line="240"/>
              <w:jc w:val="center"/>
            </w:pPr>
            <w:r>
              <w:rPr>
                <w:rFonts w:ascii="Arial" w:cs="Arial" w:eastAsia="Arial" w:hAnsi="Arial"/>
                <w:b w:val="false"/>
                <w:bCs w:val="false"/>
                <w:color w:val="000000"/>
                <w:sz w:val="17"/>
                <w:szCs w:val="17"/>
              </w:rPr>
              <w:t xml:space="preserve">16 High</w:t>
            </w:r>
          </w:p>
        </w:tc>
        <w:tc>
          <w:tcPr>
            <w:tcW w:type="dxa" w:w="3600"/>
            <w:tcMar>
              <w:top w:type="dxa" w:w="60"/>
              <w:left w:type="dxa" w:w="100"/>
              <w:bottom w:type="dxa" w:w="60"/>
              <w:right w:type="dxa" w:w="100"/>
            </w:tcMar>
          </w:tcPr>
          <w:p>
            <w:pPr>
              <w:spacing w:after="0" w:line="240"/>
            </w:pPr>
            <w:r>
              <w:rPr>
                <w:rFonts w:ascii="Arial" w:cs="Arial" w:eastAsia="Arial" w:hAnsi="Arial"/>
                <w:b w:val="false"/>
                <w:bCs w:val="false"/>
                <w:color w:val="000000"/>
                <w:sz w:val="17"/>
                <w:szCs w:val="17"/>
              </w:rPr>
              <w:t xml:space="preserve">Approve ACT-01 and ACT-02. Fund a vendor system of record to replace the Finance spreadsheet.</w:t>
            </w:r>
          </w:p>
        </w:tc>
      </w:tr>
      <w:tr>
        <w:trPr>
          <w:tblHeader w:val="false"/>
        </w:trPr>
        <w:tc>
          <w:tcPr>
            <w:tcW w:type="dxa" w:w="900"/>
            <w:tcMar>
              <w:top w:type="dxa" w:w="60"/>
              <w:left w:type="dxa" w:w="100"/>
              <w:bottom w:type="dxa" w:w="60"/>
              <w:right w:type="dxa" w:w="100"/>
            </w:tcMar>
          </w:tcPr>
          <w:p>
            <w:pPr>
              <w:spacing w:after="0" w:line="240"/>
            </w:pPr>
            <w:r>
              <w:rPr>
                <w:rFonts w:ascii="Arial" w:cs="Arial" w:eastAsia="Arial" w:hAnsi="Arial"/>
                <w:b w:val="false"/>
                <w:bCs w:val="false"/>
                <w:color w:val="000000"/>
                <w:sz w:val="17"/>
                <w:szCs w:val="17"/>
              </w:rPr>
              <w:t xml:space="preserve">TPR-003</w:t>
            </w:r>
          </w:p>
        </w:tc>
        <w:tc>
          <w:tcPr>
            <w:tcW w:type="dxa" w:w="4380"/>
            <w:tcMar>
              <w:top w:type="dxa" w:w="60"/>
              <w:left w:type="dxa" w:w="100"/>
              <w:bottom w:type="dxa" w:w="60"/>
              <w:right w:type="dxa" w:w="100"/>
            </w:tcMar>
          </w:tcPr>
          <w:p>
            <w:pPr>
              <w:spacing w:after="0" w:line="240"/>
            </w:pPr>
            <w:r>
              <w:rPr>
                <w:rFonts w:ascii="Arial" w:cs="Arial" w:eastAsia="Arial" w:hAnsi="Arial"/>
                <w:b w:val="false"/>
                <w:bCs w:val="false"/>
                <w:color w:val="000000"/>
                <w:sz w:val="17"/>
                <w:szCs w:val="17"/>
              </w:rPr>
              <w:t xml:space="preserve">Single sponsor bank with no alternate relationship. A regulator-driven exit would halt card issuing on 90 days notice.</w:t>
            </w:r>
          </w:p>
        </w:tc>
        <w:tc>
          <w:tcPr>
            <w:tcW w:type="dxa" w:w="1200"/>
            <w:tcMar>
              <w:top w:type="dxa" w:w="60"/>
              <w:left w:type="dxa" w:w="100"/>
              <w:bottom w:type="dxa" w:w="60"/>
              <w:right w:type="dxa" w:w="100"/>
            </w:tcMar>
          </w:tcPr>
          <w:p>
            <w:pPr>
              <w:spacing w:after="0" w:line="240"/>
              <w:jc w:val="center"/>
            </w:pPr>
            <w:r>
              <w:rPr>
                <w:rFonts w:ascii="Arial" w:cs="Arial" w:eastAsia="Arial" w:hAnsi="Arial"/>
                <w:b w:val="false"/>
                <w:bCs w:val="false"/>
                <w:color w:val="000000"/>
                <w:sz w:val="17"/>
                <w:szCs w:val="17"/>
              </w:rPr>
              <w:t xml:space="preserve">15 High</w:t>
            </w:r>
          </w:p>
        </w:tc>
        <w:tc>
          <w:tcPr>
            <w:tcW w:type="dxa" w:w="3600"/>
            <w:tcMar>
              <w:top w:type="dxa" w:w="60"/>
              <w:left w:type="dxa" w:w="100"/>
              <w:bottom w:type="dxa" w:w="60"/>
              <w:right w:type="dxa" w:w="100"/>
            </w:tcMar>
          </w:tcPr>
          <w:p>
            <w:pPr>
              <w:spacing w:after="0" w:line="240"/>
            </w:pPr>
            <w:r>
              <w:rPr>
                <w:rFonts w:ascii="Arial" w:cs="Arial" w:eastAsia="Arial" w:hAnsi="Arial"/>
                <w:b w:val="false"/>
                <w:bCs w:val="false"/>
                <w:color w:val="000000"/>
                <w:sz w:val="17"/>
                <w:szCs w:val="17"/>
              </w:rPr>
              <w:t xml:space="preserve">Approve ACT-12 and mandate the CEO to open a second sponsor relationship or secure an LOI by 30 June 2027.</w:t>
            </w:r>
          </w:p>
        </w:tc>
      </w:tr>
      <w:tr>
        <w:trPr>
          <w:tblHeader w:val="false"/>
        </w:trPr>
        <w:tc>
          <w:tcPr>
            <w:tcW w:type="dxa" w:w="900"/>
            <w:tcMar>
              <w:top w:type="dxa" w:w="60"/>
              <w:left w:type="dxa" w:w="100"/>
              <w:bottom w:type="dxa" w:w="60"/>
              <w:right w:type="dxa" w:w="100"/>
            </w:tcMar>
          </w:tcPr>
          <w:p>
            <w:pPr>
              <w:spacing w:after="0" w:line="240"/>
            </w:pPr>
            <w:r>
              <w:rPr>
                <w:rFonts w:ascii="Arial" w:cs="Arial" w:eastAsia="Arial" w:hAnsi="Arial"/>
                <w:b w:val="false"/>
                <w:bCs w:val="false"/>
                <w:color w:val="000000"/>
                <w:sz w:val="17"/>
                <w:szCs w:val="17"/>
              </w:rPr>
              <w:t xml:space="preserve">TPR-008</w:t>
            </w:r>
          </w:p>
        </w:tc>
        <w:tc>
          <w:tcPr>
            <w:tcW w:type="dxa" w:w="4380"/>
            <w:tcMar>
              <w:top w:type="dxa" w:w="60"/>
              <w:left w:type="dxa" w:w="100"/>
              <w:bottom w:type="dxa" w:w="60"/>
              <w:right w:type="dxa" w:w="100"/>
            </w:tcMar>
          </w:tcPr>
          <w:p>
            <w:pPr>
              <w:spacing w:after="0" w:line="240"/>
            </w:pPr>
            <w:r>
              <w:rPr>
                <w:rFonts w:ascii="Arial" w:cs="Arial" w:eastAsia="Arial" w:hAnsi="Arial"/>
                <w:b w:val="false"/>
                <w:bCs w:val="false"/>
                <w:color w:val="000000"/>
                <w:sz w:val="17"/>
                <w:szCs w:val="17"/>
              </w:rPr>
              <w:t xml:space="preserve">The KYC provider's 90-day deletion obligation has never been evidenced. Roughly 400,000 government identity documents are exposed to a vendor-side breach.</w:t>
            </w:r>
          </w:p>
        </w:tc>
        <w:tc>
          <w:tcPr>
            <w:tcW w:type="dxa" w:w="1200"/>
            <w:tcMar>
              <w:top w:type="dxa" w:w="60"/>
              <w:left w:type="dxa" w:w="100"/>
              <w:bottom w:type="dxa" w:w="60"/>
              <w:right w:type="dxa" w:w="100"/>
            </w:tcMar>
          </w:tcPr>
          <w:p>
            <w:pPr>
              <w:spacing w:after="0" w:line="240"/>
              <w:jc w:val="center"/>
            </w:pPr>
            <w:r>
              <w:rPr>
                <w:rFonts w:ascii="Arial" w:cs="Arial" w:eastAsia="Arial" w:hAnsi="Arial"/>
                <w:b w:val="false"/>
                <w:bCs w:val="false"/>
                <w:color w:val="000000"/>
                <w:sz w:val="17"/>
                <w:szCs w:val="17"/>
              </w:rPr>
              <w:t xml:space="preserve">15 High</w:t>
            </w:r>
          </w:p>
        </w:tc>
        <w:tc>
          <w:tcPr>
            <w:tcW w:type="dxa" w:w="3600"/>
            <w:tcMar>
              <w:top w:type="dxa" w:w="60"/>
              <w:left w:type="dxa" w:w="100"/>
              <w:bottom w:type="dxa" w:w="60"/>
              <w:right w:type="dxa" w:w="100"/>
            </w:tcMar>
          </w:tcPr>
          <w:p>
            <w:pPr>
              <w:spacing w:after="0" w:line="240"/>
            </w:pPr>
            <w:r>
              <w:rPr>
                <w:rFonts w:ascii="Arial" w:cs="Arial" w:eastAsia="Arial" w:hAnsi="Arial"/>
                <w:b w:val="false"/>
                <w:bCs w:val="false"/>
                <w:color w:val="000000"/>
                <w:sz w:val="17"/>
                <w:szCs w:val="17"/>
              </w:rPr>
              <w:t xml:space="preserve">Approve ACT-03. Low cost and closes by 15 September 2026.</w:t>
            </w:r>
          </w:p>
        </w:tc>
      </w:tr>
    </w:tbl>
    <w:p>
      <w:pPr>
        <w:spacing w:after="200"/>
      </w:pPr>
    </w:p>
    <w:p>
      <w:pPr>
        <w:spacing w:after="140" w:line="264"/>
      </w:pPr>
      <w:r>
        <w:rPr>
          <w:rFonts w:ascii="Arial" w:cs="Arial" w:eastAsia="Arial" w:hAnsi="Arial"/>
          <w:sz w:val="20"/>
          <w:szCs w:val="20"/>
        </w:rPr>
        <w:t xml:space="preserve">The full treatment plan comprises 16 actions across three waves over twelve months. Wave one is six actions due by 31 October and is deliberately weighted toward governance and evidence collection, which is low cost and unblocks everything downstream. Wave two addresses contract remediation and fourth-party dependency mapping. Wave three carries the capital-intensive items, including the second sponsor relationship and a possible secondary gateway integration. Delivered in full, the plan takes aggregate residual score across the register from 183 to a projected 96.</w:t>
      </w:r>
    </w:p>
    <w:p>
      <w:pPr>
        <w:spacing w:after="100" w:line="264"/>
      </w:pPr>
      <w:r>
        <w:rPr>
          <w:rFonts w:ascii="Arial" w:cs="Arial" w:eastAsia="Arial" w:hAnsi="Arial"/>
          <w:b/>
          <w:bCs/>
          <w:sz w:val="20"/>
          <w:szCs w:val="20"/>
        </w:rPr>
        <w:t xml:space="preserve">Decisions requested:</w:t>
      </w:r>
    </w:p>
    <w:p>
      <w:pPr>
        <w:pStyle w:val="ListParagraph"/>
        <w:numPr>
          <w:ilvl w:val="0"/>
          <w:numId w:val="2"/>
        </w:numPr>
        <w:spacing w:after="90" w:line="264"/>
      </w:pPr>
      <w:r>
        <w:rPr>
          <w:rFonts w:ascii="Arial" w:cs="Arial" w:eastAsia="Arial" w:hAnsi="Arial"/>
          <w:sz w:val="20"/>
          <w:szCs w:val="20"/>
        </w:rPr>
        <w:t xml:space="preserve">Approve the treatment plan as presented, with the named executive owners.</w:t>
      </w:r>
    </w:p>
    <w:p>
      <w:pPr>
        <w:pStyle w:val="ListParagraph"/>
        <w:numPr>
          <w:ilvl w:val="0"/>
          <w:numId w:val="2"/>
        </w:numPr>
        <w:spacing w:after="90" w:line="264"/>
      </w:pPr>
      <w:r>
        <w:rPr>
          <w:rFonts w:ascii="Arial" w:cs="Arial" w:eastAsia="Arial" w:hAnsi="Arial"/>
          <w:sz w:val="20"/>
          <w:szCs w:val="20"/>
        </w:rPr>
        <w:t xml:space="preserve">Approve funding for the vendor system of record and the extension of managed detection coverage to cloud and SaaS audit logs, both currently unbudgeted.</w:t>
      </w:r>
    </w:p>
    <w:p>
      <w:pPr>
        <w:pStyle w:val="ListParagraph"/>
        <w:numPr>
          <w:ilvl w:val="0"/>
          <w:numId w:val="2"/>
        </w:numPr>
        <w:spacing w:after="90" w:line="264"/>
      </w:pPr>
      <w:r>
        <w:rPr>
          <w:rFonts w:ascii="Arial" w:cs="Arial" w:eastAsia="Arial" w:hAnsi="Arial"/>
          <w:sz w:val="20"/>
          <w:szCs w:val="20"/>
        </w:rPr>
        <w:t xml:space="preserve">Record formal acceptance of TPR-019, the dispute BPO continuity gap, with a stated expiry of 31 December 2027.</w:t>
      </w:r>
    </w:p>
    <w:p>
      <w:pPr>
        <w:pBdr>
          <w:top w:val="single" w:color="BFBFBF" w:sz="4" w:space="6"/>
        </w:pBdr>
        <w:spacing w:after="0" w:before="260"/>
      </w:pPr>
      <w:r>
        <w:rPr>
          <w:rFonts w:ascii="Arial" w:cs="Arial" w:eastAsia="Arial" w:hAnsi="Arial"/>
          <w:i/>
          <w:iCs/>
          <w:color w:val="595959"/>
          <w:sz w:val="15"/>
          <w:szCs w:val="15"/>
        </w:rPr>
        <w:t xml:space="preserve">Kestrel Pay Inc. is a fictional company. All vendors, findings, dates and figures in this memorandum and the supporting register were created for training purposes and describe no real organization. Regulatory references are illustrative and should be confirmed against the current published standards before reuse.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2026-07-30T17:49:07.377Z</dcterms:created>
  <dcterms:modified xsi:type="dcterms:W3CDTF">2026-07-30T17:49:07.391Z</dcterms:modified>
</cp:coreProperties>
</file>

<file path=docProps/custom.xml><?xml version="1.0" encoding="utf-8"?>
<Properties xmlns="http://schemas.openxmlformats.org/officeDocument/2006/custom-properties" xmlns:vt="http://schemas.openxmlformats.org/officeDocument/2006/docPropsVTypes"/>
</file>