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docProps/app.xml" ContentType="application/vnd.openxmlformats-officedocument.extended-propertie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both"/>
        <w:rPr/>
      </w:pPr>
      <w:r>
        <w:rPr/>
        <w:drawing>
          <wp:anchor distT="0" distB="0" distL="114300" distR="114300" simplePos="0" relativeHeight="251658240" behindDoc="1" locked="0" layoutInCell="0" hidden="0" allowOverlap="0" wp14:anchorId="1CB26BEB" wp14:editId="03E2E49A">
            <wp:simplePos x="0" y="0"/>
            <wp:positionH relativeFrom="margin">
              <wp:posOffset>-299085</wp:posOffset>
            </wp:positionH>
            <wp:positionV relativeFrom="paragraph">
              <wp:posOffset>50800</wp:posOffset>
            </wp:positionV>
            <wp:extent cx="4524375" cy="8229600"/>
            <wp:effectExtent l="0" t="0" r="9525" b="0"/>
            <wp:wrapNone/>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4"/>
                    <a:srcRect/>
                    <a:stretch>
                      <a:fillRect/>
                    </a:stretch>
                  </pic:blipFill>
                  <pic:spPr>
                    <a:xfrm>
                      <a:off x="0" y="0"/>
                      <a:ext cx="4524375" cy="8229600"/>
                    </a:xfrm>
                    <a:prstGeom prst="rect">
                      <a:avLst/>
                    </a:prstGeom>
                    <a:ln/>
                  </pic:spPr>
                </pic:pic>
              </a:graphicData>
            </a:graphic>
          </wp:anchor>
        </w:drawing>
      </w:r>
    </w:p>
    <w:p>
      <w:pPr>
        <w:rPr>
          <w:b w:val="on"/>
        </w:rPr>
      </w:pPr>
      <w:r>
        <w:rPr>
          <w:b w:val="on"/>
        </w:rPr>
        <w:t>A quien corresponda                                             19 de Diciembre</w:t>
      </w:r>
      <w:r>
        <w:rPr>
          <w:b w:val="on"/>
        </w:rPr>
        <w:t xml:space="preserve">  2014</w:t>
      </w:r>
      <w:bookmarkStart w:id="0" w:name="_GoBack"/>
      <w:bookmarkEnd w:id="0"/>
    </w:p>
    <w:p>
      <w:pPr>
        <w:jc w:val="both"/>
        <w:rPr>
          <w:b w:val="on"/>
          <w:u w:val="single"/>
        </w:rPr>
      </w:pPr>
      <w:r>
        <w:rPr>
          <w:b w:val="on"/>
          <w:u w:val="single"/>
        </w:rPr>
        <w:t xml:space="preserve">P R E S E N T </w:t>
      </w:r>
      <w:r>
        <w:rPr>
          <w:b w:val="on"/>
          <w:u w:val="single"/>
        </w:rPr>
        <w:t>E :</w:t>
      </w:r>
    </w:p>
    <w:p>
      <w:pPr>
        <w:jc w:val="both"/>
        <w:rPr>
          <w:u w:val="single"/>
        </w:rPr>
      </w:pPr>
    </w:p>
    <w:p>
      <w:pPr>
        <w:jc w:val="both"/>
        <w:rPr>
          <w:u w:val="single"/>
        </w:rPr>
      </w:pPr>
    </w:p>
    <w:p>
      <w:pPr>
        <w:jc w:val="both"/>
        <w:rPr/>
      </w:pPr>
      <w:r>
        <w:t xml:space="preserve">                            Reciba saludos, el que suscribe Ing. Civil, y con constancia de habilidades DC3 por la  S.T.P.S. en Mantenimiento de Equipos Sujetos a Presión Daniel H. Morales Mtz.hace el siguiente</w:t>
      </w:r>
    </w:p>
    <w:p>
      <w:pPr>
        <w:jc w:val="center"/>
        <w:rPr/>
      </w:pPr>
    </w:p>
    <w:p>
      <w:pPr>
        <w:jc w:val="center"/>
        <w:rPr/>
      </w:pPr>
      <w:r>
        <w:t xml:space="preserve">R E P O R T E </w:t>
      </w:r>
    </w:p>
    <w:p>
      <w:pPr>
        <w:jc w:val="both"/>
        <w:rPr/>
      </w:pPr>
    </w:p>
    <w:p>
      <w:pPr>
        <w:jc w:val="both"/>
        <w:rPr/>
      </w:pPr>
      <w:r>
        <w:t>1.- Se da las sugerencia de instalación del calentador Raypak  conforme a el manual dentro del empaque del mismo y siguiendo los criterios de la instalación de calentadores de alberca con personal del lugar.</w:t>
      </w:r>
    </w:p>
    <w:p>
      <w:pPr>
        <w:jc w:val="both"/>
        <w:rPr/>
      </w:pPr>
    </w:p>
    <w:p>
      <w:pPr>
        <w:jc w:val="both"/>
        <w:rPr/>
      </w:pPr>
      <w:r>
        <w:t>2.- se revisan los siguientes puntos, conforme manual de instalación:</w:t>
      </w:r>
    </w:p>
    <w:p>
      <w:pPr>
        <w:jc w:val="both"/>
        <w:rPr/>
      </w:pPr>
      <w:r>
        <w:t>el suministro de energía eléctrica</w:t>
      </w:r>
    </w:p>
    <w:p>
      <w:pPr>
        <w:jc w:val="both"/>
        <w:rPr/>
      </w:pPr>
      <w:r>
        <w:t>el suministro de gas (L.P.)</w:t>
      </w:r>
    </w:p>
    <w:p>
      <w:pPr>
        <w:jc w:val="both"/>
        <w:rPr/>
      </w:pPr>
      <w:r>
        <w:t>las conexiones de entrada y salida de agua ( con bypass)</w:t>
      </w:r>
    </w:p>
    <w:p>
      <w:pPr>
        <w:jc w:val="both"/>
        <w:rPr/>
      </w:pPr>
      <w:r>
        <w:t>la presión correcta de agua</w:t>
      </w:r>
    </w:p>
    <w:p>
      <w:pPr>
        <w:jc w:val="both"/>
        <w:rPr/>
      </w:pPr>
    </w:p>
    <w:p>
      <w:pPr>
        <w:jc w:val="both"/>
        <w:rPr/>
      </w:pPr>
      <w:r>
        <w:t xml:space="preserve">3.- Al encender el calentador aparece una leyenda en el display  "revisando"  y posteriormente hace un zumbido el calentador que se supone es la corriente eléctrica intentando encender el piloto,  después de varios intentos dice la leyenda "fallo en encendido de piloto" posteriormente aparece otra leyenda que dice "cierre de sistema de ignición" </w:t>
      </w:r>
    </w:p>
    <w:p>
      <w:pPr>
        <w:jc w:val="both"/>
        <w:rPr/>
      </w:pPr>
    </w:p>
    <w:p>
      <w:pPr>
        <w:jc w:val="both"/>
        <w:rPr/>
      </w:pPr>
      <w:r>
        <w:t>4.- por lo anterior se solicita a quien corresponda que nos den apoyo ya sea personal o de alguna otra manera para resolver el problema antes citado</w:t>
      </w:r>
    </w:p>
    <w:p>
      <w:pPr>
        <w:jc w:val="both"/>
        <w:rPr/>
      </w:pPr>
    </w:p>
    <w:p>
      <w:pPr>
        <w:jc w:val="both"/>
        <w:rPr/>
      </w:pPr>
      <w:r>
        <w:t>sin</w:t>
      </w:r>
      <w:r>
        <w:t xml:space="preserve"> </w:t>
      </w:r>
      <w:r>
        <w:t>mas</w:t>
      </w:r>
      <w:r>
        <w:t xml:space="preserve"> por el momento quedo pendiente</w:t>
      </w:r>
    </w:p>
    <w:p>
      <w:pPr>
        <w:jc w:val="both"/>
        <w:rPr/>
      </w:pPr>
    </w:p>
    <w:p>
      <w:pPr>
        <w:jc w:val="both"/>
        <w:rPr/>
      </w:pPr>
    </w:p>
    <w:p>
      <w:pPr>
        <w:jc w:val="center"/>
        <w:rPr/>
      </w:pPr>
      <w:r>
        <w:t>Atentamente</w:t>
      </w:r>
    </w:p>
    <w:p>
      <w:pPr>
        <w:jc w:val="center"/>
        <w:rPr/>
      </w:pPr>
      <w:r>
        <w:t>Ing. Daniel Morales M.</w:t>
      </w:r>
    </w:p>
    <w:p>
      <w:pPr>
        <w:jc w:val="center"/>
        <w:rPr/>
      </w:pPr>
    </w:p>
    <w:p>
      <w:pPr>
        <w:jc w:val="center"/>
        <w:rPr/>
      </w:pPr>
      <w:r>
        <w:t>2221 58 05 91</w:t>
      </w:r>
    </w:p>
    <w:p>
      <w:r>
        <w:t>c.c.p.archivo</w:t>
      </w:r>
      <w:r>
        <w:t>.</w:t>
      </w:r>
    </w:p>
    <w:sectPr>
      <w:pgSz w:w="11906" w:h="16838"/>
      <w:pgMar w:top="1417" w:right="1701" w:bottom="1417" w:left="1701"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sig w:usb0="e0002aff" w:usb1="c0007841" w:usb2="00000009" w:usb3="00000000" w:csb0="000001ff" w:csb1="00000000"/>
  </w:font>
  <w:font w:name="Georgia">
    <w:panose1 w:val="02040502050405020303"/>
    <w:charset w:val="00"/>
    <w:family w:val="auto"/>
  </w:font>
  <w:font w:name="Calibri Light">
    <w:panose1 w:val="020f0302020204030204"/>
    <w:charset w:val="00"/>
    <w:family w:val="auto"/>
    <w:sig w:usb0="a00002ef" w:usb1="4000207b" w:usb2="00000000" w:usb3="00000000" w:csb0="0000019f" w:csb1="00000000"/>
  </w:font>
  <w:font w:name="Calibri">
    <w:panose1 w:val="020f0502020204030204"/>
    <w:charset w:val="00"/>
    <w:family w:val="auto"/>
    <w:sig w:usb0="e00002ff" w:usb1="4000acff" w:usb2="00000001" w:usb3="00000000" w:csb0="0000019f" w:csb1="00000000"/>
  </w:font>
  <w:font w:name="Arial">
    <w:panose1 w:val="020b0604020202020204"/>
    <w:charset w:val="00"/>
    <w:family w:val="auto"/>
    <w:sig w:usb0="20002a87" w:usb1="80000000" w:usb2="00000008" w:usb3="00000000" w:csb0="000001ff" w:csb1="00000000"/>
  </w:font>
  <w:font w:name="Cambria">
    <w:panose1 w:val="02040503050406030204"/>
    <w:charset w:val="00"/>
    <w:family w:val="auto"/>
    <w:sig w:usb0="a00002ef" w:usb1="4000004b" w:usb2="00000000" w:usb3="00000000" w:csb0="0000009f" w:csb1="00000000"/>
  </w:font>
  <w:font w:name="Courier New">
    <w:panose1 w:val="02070309020205020404"/>
    <w:charset w:val="00"/>
    <w:family w:val="auto"/>
    <w:sig w:usb0="e0002aff" w:usb1="c0007843" w:usb2="00000009" w:usb3="00000000" w:csb0="000001ff" w:csb1="00000000"/>
  </w:font>
  <w:font w:name="Tahoma">
    <w:panose1 w:val="020b0604030504040204"/>
    <w:charset w:val="00"/>
    <w:family w:val="auto"/>
    <w:sig w:usb0="61002a87" w:usb1="80000000" w:usb2="00000008" w:usb3="00000000" w:csb0="000001ff" w:csb1="00000000"/>
  </w:font>
  <w:font w:name="Verdana">
    <w:panose1 w:val="020b0604030504040204"/>
    <w:charset w:val="00"/>
    <w:family w:val="auto"/>
    <w:sig w:usb0="a10006ff" w:usb1="4000205b" w:usb2="00000010" w:usb3="00000000" w:csb0="0000019f" w:csb1="00000000"/>
  </w:font>
  <w:font w:name="Symbol">
    <w:panose1 w:val="05050102010706020507"/>
    <w:charset w:val="02"/>
    <w:family w:val="roman"/>
    <w:notTrueType w:val="on"/>
  </w:font>
  <w:font w:name="Wingdings">
    <w:panose1 w:val="05000000000000000000"/>
    <w:charset w:val="02"/>
    <w:family w:val="auto"/>
    <w:notTrueType w:val="on"/>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grammar="clean"/>
  <w:defaultTabStop w:val="720"/>
  <w:hyphenationZone w:val="425"/>
  <w:characterSpacingControl w:val="doNotCompress"/>
  <w:footnotePr/>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2F9"/>
    <w:rsid w:val="00BD22F9"/>
    <w:rsid w:val="00D84856"/>
    <w:rsid w:val="00DA70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637845BE-88F1-4D49-B42A-FDF0B30BFFA3}"/>
</w:settings>
</file>

<file path=word/styles.xml><?xml version="1.0" encoding="utf-8"?>
<w:styles xmlns:r="http://schemas.openxmlformats.org/officeDocument/2006/relationships" xmlns:w="http://schemas.openxmlformats.org/wordprocessingml/2006/main">
  <w:docDefaults>
    <w:rPrDefault>
      <w:rPr>
        <w:rFonts w:ascii="Times New Roman" w:cs="Times New Roman" w:eastAsia="Times New Roman" w:hAnsi="Times New Roman"/>
        <w:color w:val="000000"/>
        <w:sz w:val="24"/>
      </w:rPr>
    </w:rPrDefault>
    <w:pPrDefault/>
  </w:docDefaults>
  <w:style w:type="paragraph" w:styleId="Subtitle">
    <w:name w:val="Subtitle"/>
    <w:basedOn w:val="Normal"/>
    <w:next w:val="Normal"/>
    <w:uiPriority w:val="99"/>
    <w:pPr>
      <w:keepNext w:val="on"/>
      <w:keepLines w:val="on"/>
      <w:spacing w:before="360" w:after="80"/>
      <w:contextualSpacing w:val="on"/>
    </w:pPr>
    <w:rPr>
      <w:rFonts w:ascii="Georgia" w:cs="Georgia" w:eastAsia="Georgia" w:hAnsi="Georgia"/>
      <w:i w:val="on"/>
      <w:color w:val="666666"/>
      <w:sz w:val="48"/>
    </w:rPr>
  </w:style>
  <w:style w:type="character" w:styleId="Hyperlink">
    <w:name w:val="Hyperlink"/>
    <w:basedOn w:val="DefaultParagraphFont"/>
    <w:uiPriority w:val="99"/>
    <w:rPr>
      <w:color w:val="0000ff"/>
      <w:u w:val="single"/>
    </w:rPr>
  </w:style>
  <w:style w:type="table" w:default="1" w:styleId="NormalTable">
    <w:name w:val="Normal Table"/>
    <w:uiPriority w:val="99"/>
    <w:tblPr>
      <w:tblInd w:w="0" w:type="dxa"/>
      <w:tblCellMar>
        <w:top w:w="0" w:type="dxa"/>
        <w:left w:w="108" w:type="dxa"/>
        <w:bottom w:w="0" w:type="dxa"/>
        <w:right w:w="108" w:type="dxa"/>
      </w:tblCellMar>
    </w:tblPr>
  </w:style>
  <w:style w:type="paragraph" w:styleId="heading1">
    <w:name w:val="heading 1"/>
    <w:basedOn w:val="Normal"/>
    <w:next w:val="Normal"/>
    <w:uiPriority w:val="99"/>
    <w:pPr>
      <w:keepNext w:val="on"/>
      <w:keepLines w:val="on"/>
      <w:spacing w:before="480" w:after="120"/>
      <w:contextualSpacing w:val="on"/>
    </w:pPr>
    <w:rPr>
      <w:b w:val="on"/>
      <w:sz w:val="48"/>
    </w:rPr>
  </w:style>
  <w:style w:type="character" w:default="1" w:styleId="DefaultParagraphFont">
    <w:name w:val="Default Paragraph Font"/>
    <w:uiPriority w:val="1"/>
  </w:style>
  <w:style w:type="numbering" w:default="1" w:styleId="NoList">
    <w:name w:val="No List"/>
    <w:uiPriority w:val="99"/>
  </w:style>
  <w:style w:type="character" w:styleId="endnotereference">
    <w:name w:val="endnote reference"/>
    <w:basedOn w:val="DefaultParagraphFont"/>
    <w:uiPriority w:val="99"/>
    <w:rPr>
      <w:vertAlign w:val="superscript"/>
    </w:rPr>
  </w:style>
  <w:style w:type="paragraph" w:styleId="Title">
    <w:name w:val="Title"/>
    <w:basedOn w:val="Normal"/>
    <w:next w:val="Normal"/>
    <w:uiPriority w:val="99"/>
    <w:pPr>
      <w:keepNext w:val="on"/>
      <w:keepLines w:val="on"/>
      <w:spacing w:before="480" w:after="120"/>
      <w:contextualSpacing w:val="on"/>
    </w:pPr>
    <w:rPr>
      <w:b w:val="on"/>
      <w:sz w:val="72"/>
    </w:rPr>
  </w:style>
  <w:style w:type="table" w:styleId="TableNormal">
    <w:name w:val="Table Normal"/>
    <w:uiPriority w:val="99"/>
    <w:tblPr>
      <w:tblCellMar>
        <w:top w:w="0" w:type="dxa"/>
        <w:left w:w="0" w:type="dxa"/>
        <w:bottom w:w="0" w:type="dxa"/>
        <w:right w:w="0" w:type="dxa"/>
      </w:tblCellMar>
    </w:tblPr>
  </w:style>
  <w:style w:type="paragraph" w:default="1" w:styleId="Normal">
    <w:name w:val="Normal"/>
    <w:uiPriority w:val="99"/>
  </w:style>
  <w:style w:type="paragraph" w:styleId="heading6">
    <w:name w:val="heading 6"/>
    <w:basedOn w:val="Normal"/>
    <w:next w:val="Normal"/>
    <w:uiPriority w:val="99"/>
    <w:pPr>
      <w:keepNext w:val="on"/>
      <w:keepLines w:val="on"/>
      <w:spacing w:before="200" w:after="40"/>
      <w:contextualSpacing w:val="on"/>
    </w:pPr>
    <w:rPr>
      <w:b w:val="on"/>
      <w:sz w:val="20"/>
    </w:rPr>
  </w:style>
  <w:style w:type="paragraph" w:styleId="heading2">
    <w:name w:val="heading 2"/>
    <w:basedOn w:val="Normal"/>
    <w:next w:val="Normal"/>
    <w:uiPriority w:val="99"/>
    <w:pPr>
      <w:keepNext w:val="on"/>
      <w:keepLines w:val="on"/>
      <w:spacing w:before="360" w:after="80"/>
      <w:contextualSpacing w:val="on"/>
    </w:pPr>
    <w:rPr>
      <w:b w:val="on"/>
      <w:sz w:val="36"/>
    </w:rPr>
  </w:style>
  <w:style w:type="character" w:styleId="footnotereference">
    <w:name w:val="footnote reference"/>
    <w:basedOn w:val="DefaultParagraphFont"/>
    <w:uiPriority w:val="99"/>
    <w:rPr>
      <w:vertAlign w:val="superscript"/>
    </w:rPr>
  </w:style>
  <w:style w:type="paragraph" w:styleId="heading3">
    <w:name w:val="heading 3"/>
    <w:basedOn w:val="Normal"/>
    <w:next w:val="Normal"/>
    <w:uiPriority w:val="99"/>
    <w:pPr>
      <w:keepNext w:val="on"/>
      <w:keepLines w:val="on"/>
      <w:spacing w:before="280" w:after="80"/>
      <w:contextualSpacing w:val="on"/>
    </w:pPr>
    <w:rPr>
      <w:b w:val="on"/>
      <w:sz w:val="28"/>
    </w:rPr>
  </w:style>
  <w:style w:type="paragraph" w:styleId="heading4">
    <w:name w:val="heading 4"/>
    <w:basedOn w:val="Normal"/>
    <w:next w:val="Normal"/>
    <w:uiPriority w:val="99"/>
    <w:pPr>
      <w:keepNext w:val="on"/>
      <w:keepLines w:val="on"/>
      <w:spacing w:before="240" w:after="40"/>
      <w:contextualSpacing w:val="on"/>
    </w:pPr>
    <w:rPr>
      <w:b w:val="on"/>
    </w:rPr>
  </w:style>
  <w:style w:type="paragraph" w:styleId="heading5">
    <w:name w:val="heading 5"/>
    <w:basedOn w:val="Normal"/>
    <w:next w:val="Normal"/>
    <w:uiPriority w:val="99"/>
    <w:pPr>
      <w:keepNext w:val="on"/>
      <w:keepLines w:val="on"/>
      <w:spacing w:before="220" w:after="40"/>
      <w:contextualSpacing w:val="on"/>
    </w:pPr>
    <w:rPr>
      <w:b w:val="o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6" Type="http://schemas.openxmlformats.org/officeDocument/2006/relationships/theme" Target="theme/theme1.xml"/><Relationship Id="rId2" Type="http://schemas.openxmlformats.org/officeDocument/2006/relationships/settings" Target="settings.xml"/><Relationship Id="rId5" Type="http://schemas.openxmlformats.org/officeDocument/2006/relationships/fontTable" Target="fontTable.xml"/><Relationship Id="rId1" Type="http://schemas.openxmlformats.org/officeDocument/2006/relationships/styles" Target="styles.xml"/><Relationship Id="rId3" Type="http://schemas.openxmlformats.org/officeDocument/2006/relationships/webSettings" Target="webSettings.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297</Words>
  <Characters>1634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cotizacion de recirculador.doc.docx</vt:lpstr>
    </vt:vector>
  </TitlesOfParts>
  <Company/>
  <LinksUpToDate>false</LinksUpToDate>
  <CharactersWithSpaces>1928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cotizacion de recirculador.doc.docx</dc:title>
  <dc:creator>maquina 14</dc:creator>
  <cp:lastModifiedBy>maquina 14</cp:lastModifiedBy>
  <cp:revision>2</cp:revision>
  <dcterms:created xsi:type="dcterms:W3CDTF">2014-09-12T20:18:00Z</dcterms:created>
  <dcterms:modified xsi:type="dcterms:W3CDTF">2014-09-12T20:18:00Z</dcterms:modified>
</cp:coreProperties>
</file>