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-0.081 (P = 0.055)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-0.094 (P = 0.173)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0.421)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-0.082 (P = 0.286)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0.148 (P = 0.195)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0.356 (P = 0.112)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0.231 (P = 0.518)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-0.038 (P = 0.888)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0.172 (P = 0.617)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2.352 (P = 0.000)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0.729 (P = 0.001)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-0.322 (P = 0.444)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0.874)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-0.905 (P = 0.101)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1.201 (P = 0.007)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0.259 (P = 0.174)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-0.568 (P = 0.215)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-0.160 (P = 0.519)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0.650 (P = 0.036)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1.328 (P = 0.000)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0.161)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0.119 (P = 0.095)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0.662)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-0.215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0.076 (P = 0.399)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