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ptos Display" w:hAnsi="Aptos Display"/>
          <w:b/>
          <w:color w:val="11B8AF"/>
          <w:sz w:val="28"/>
        </w:rPr>
        <w:t>ALPHASPLIT</w:t>
      </w:r>
    </w:p>
    <w:p>
      <w:pPr>
        <w:pStyle w:val="Title"/>
        <w:jc w:val="center"/>
      </w:pPr>
      <w:r>
        <w:t>决赛答辩三页内容与讲解说明</w:t>
      </w:r>
    </w:p>
    <w:p>
      <w:pPr>
        <w:pStyle w:val="Subtitle"/>
        <w:jc w:val="center"/>
      </w:pPr>
      <w:r>
        <w:t>第7页 可审计证据链  第8页 四层系统架构  第13页 6比4双轨治理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767"/>
      </w:tblGrid>
      <w:tr>
        <w:trPr>
          <w:cantSplit/>
        </w:trPr>
        <w:tc>
          <w:tcPr>
            <w:tcW w:type="dxa" w:w="4958"/>
            <w:shd w:fill="11B8AF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核心主线</w:t>
            </w:r>
          </w:p>
        </w:tc>
        <w:tc>
          <w:tcPr>
            <w:tcW w:type="dxa" w:w="4958"/>
            <w:shd w:fill="EAF7F6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sz w:val="20"/>
              </w:rPr>
              <w:t>证据如何产生  →  系统如何保证可信  →  证据如何进入治理</w:t>
            </w:r>
          </w:p>
        </w:tc>
      </w:tr>
    </w:tbl>
    <w:p>
      <w:pPr>
        <w:spacing w:after="0"/>
      </w:pPr>
    </w:p>
    <w:p/>
    <w:p/>
    <w:p/>
    <w:p/>
    <w:p/>
    <w:p>
      <w:pPr>
        <w:jc w:val="center"/>
      </w:pPr>
      <w:r>
        <w:rPr>
          <w:b/>
          <w:color w:val="5C6B73"/>
          <w:sz w:val="21"/>
        </w:rPr>
        <w:t>适用对象  高玉伟及决赛答辩制作团队</w:t>
        <w:br/>
      </w:r>
      <w:r>
        <w:rPr>
          <w:color w:val="5C6B73"/>
          <w:sz w:val="21"/>
        </w:rPr>
        <w:t>内容版本  v1.0</w:t>
        <w:br/>
      </w:r>
      <w:r>
        <w:rPr>
          <w:color w:val="5C6B73"/>
          <w:sz w:val="21"/>
        </w:rPr>
        <w:t>日期  2026年10月8日</w:t>
      </w:r>
    </w:p>
    <w:p>
      <w:r>
        <w:br w:type="page"/>
      </w:r>
    </w:p>
    <w:p>
      <w:pPr>
        <w:pStyle w:val="Heading1"/>
        <w:keepNext w:val="1"/>
      </w:pPr>
      <w:r>
        <w:t>目录</w:t>
      </w:r>
    </w:p>
    <w:p>
      <w:fldChar w:fldCharType="begin"/>
      <w:instrText xml:space="preserve"> TOC \o "1-3" \h \z \u </w:instrText>
      <w:fldChar w:fldCharType="separate">
        <w:t>目录将在打开文档时自动更新</w:t>
      </w:fldChar>
      <w:fldChar w:fldCharType="end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767"/>
      </w:tblGrid>
      <w:tr>
        <w:trPr>
          <w:cantSplit/>
        </w:trPr>
        <w:tc>
          <w:tcPr>
            <w:tcW w:type="dxa" w:w="4958"/>
            <w:shd w:fill="E5A72B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使用提示</w:t>
            </w:r>
          </w:p>
        </w:tc>
        <w:tc>
          <w:tcPr>
            <w:tcW w:type="dxa" w:w="4958"/>
            <w:shd w:fill="FFF6E5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sz w:val="20"/>
              </w:rPr>
              <w:t>首次在 Word 中打开时，如目录页码未刷新，请在目录区域右键选择更新域。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 w:val="1"/>
      </w:pPr>
      <w:r>
        <w:t>文档用途与三页总逻辑</w:t>
      </w:r>
    </w:p>
    <w:p>
      <w:pPr>
        <w:keepLines w:val="1"/>
      </w:pPr>
      <w:r>
        <w:t>这三页不是三个孤立的技术点，而是一条从方法到系统、再到治理的闭环论证。第7页先证明贡献证据可以被规范地产生；第8页说明这条证据链为什么可信、可复算；第13页说明量化证据怎样进入机构分配决策，同时保留评审委员会的最终责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24"/>
        <w:gridCol w:w="2360"/>
        <w:gridCol w:w="3596"/>
        <w:gridCol w:w="2304"/>
      </w:tblGrid>
      <w:tr>
        <w:trPr>
          <w:tblHeader w:val="true"/>
        </w:trPr>
        <w:tc>
          <w:tcPr>
            <w:tcW w:type="dxa" w:w="1124"/>
            <w:shd w:fill="17232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页码</w:t>
            </w:r>
          </w:p>
        </w:tc>
        <w:tc>
          <w:tcPr>
            <w:tcW w:type="dxa" w:w="2360"/>
            <w:shd w:fill="17232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回答的问题</w:t>
            </w:r>
          </w:p>
        </w:tc>
        <w:tc>
          <w:tcPr>
            <w:tcW w:type="dxa" w:w="3596"/>
            <w:shd w:fill="17232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核心结论</w:t>
            </w:r>
          </w:p>
        </w:tc>
        <w:tc>
          <w:tcPr>
            <w:tcW w:type="dxa" w:w="2304"/>
            <w:shd w:fill="17232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评委应留下的印象</w:t>
            </w:r>
          </w:p>
        </w:tc>
      </w:tr>
      <w:tr>
        <w:trPr>
          <w:cantSplit/>
        </w:trPr>
        <w:tc>
          <w:tcPr>
            <w:tcW w:type="dxa" w:w="112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第7页</w:t>
            </w:r>
          </w:p>
        </w:tc>
        <w:tc>
          <w:tcPr>
            <w:tcW w:type="dxa" w:w="23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角色贡献怎样算出来</w:t>
            </w:r>
          </w:p>
        </w:tc>
        <w:tc>
          <w:tcPr>
            <w:tcW w:type="dxa" w:w="359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用统一口径完成32个联盟反事实回测，再以精确Shapley计量边际贡献</w:t>
            </w:r>
          </w:p>
        </w:tc>
        <w:tc>
          <w:tcPr>
            <w:tcW w:type="dxa" w:w="230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不是主观打分，而是可复算证据</w:t>
            </w:r>
          </w:p>
        </w:tc>
      </w:tr>
      <w:tr>
        <w:trPr>
          <w:cantSplit/>
        </w:trPr>
        <w:tc>
          <w:tcPr>
            <w:tcW w:type="dxa" w:w="1124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第8页</w:t>
            </w:r>
          </w:p>
        </w:tc>
        <w:tc>
          <w:tcPr>
            <w:tcW w:type="dxa" w:w="2360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Agent会不会编造金融结果</w:t>
            </w:r>
          </w:p>
        </w:tc>
        <w:tc>
          <w:tcPr>
            <w:tcW w:type="dxa" w:w="3596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LLM只给受约束的结构化建议，金融数值由确定性引擎计算</w:t>
            </w:r>
          </w:p>
        </w:tc>
        <w:tc>
          <w:tcPr>
            <w:tcW w:type="dxa" w:w="2304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智能交互和金融事实有清晰边界</w:t>
            </w:r>
          </w:p>
        </w:tc>
      </w:tr>
      <w:tr>
        <w:trPr>
          <w:cantSplit/>
        </w:trPr>
        <w:tc>
          <w:tcPr>
            <w:tcW w:type="dxa" w:w="112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第13页</w:t>
            </w:r>
          </w:p>
        </w:tc>
        <w:tc>
          <w:tcPr>
            <w:tcW w:type="dxa" w:w="23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贡献证据怎样影响分配</w:t>
            </w:r>
          </w:p>
        </w:tc>
        <w:tc>
          <w:tcPr>
            <w:tcW w:type="dxa" w:w="359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60%制度轨保连续性，40%证据轨做动态校正，评审委员会终裁</w:t>
            </w:r>
          </w:p>
        </w:tc>
        <w:tc>
          <w:tcPr>
            <w:tcW w:type="dxa" w:w="230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证据进入治理，但不替代治理</w:t>
            </w:r>
          </w:p>
        </w:tc>
      </w:tr>
    </w:tbl>
    <w:p>
      <w:pPr>
        <w:spacing w:after="0"/>
      </w:pPr>
    </w:p>
    <w:p>
      <w:pPr>
        <w:pStyle w:val="Heading2"/>
        <w:keepNext w:val="1"/>
      </w:pPr>
      <w:r>
        <w:t>三页在八分钟答辩中的位置</w:t>
      </w:r>
    </w:p>
    <w:p>
      <w:pPr>
        <w:keepLines w:val="1"/>
      </w:pPr>
      <w:r>
        <w:t>决赛陈述总时长不超过8分钟。建议为这三页预留约100秒，占总陈述约21%。三页之间不要停顿解释旁支概念，应沿同一主线连续推进。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24"/>
        <w:gridCol w:w="4832"/>
        <w:gridCol w:w="1517"/>
        <w:gridCol w:w="1910"/>
      </w:tblGrid>
      <w:tr>
        <w:trPr>
          <w:tblHeader w:val="true"/>
        </w:trPr>
        <w:tc>
          <w:tcPr>
            <w:tcW w:type="dxa" w:w="1124"/>
            <w:shd w:fill="17232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页码</w:t>
            </w:r>
          </w:p>
        </w:tc>
        <w:tc>
          <w:tcPr>
            <w:tcW w:type="dxa" w:w="4832"/>
            <w:shd w:fill="17232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1517"/>
            <w:shd w:fill="17232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建议时长</w:t>
            </w:r>
          </w:p>
        </w:tc>
        <w:tc>
          <w:tcPr>
            <w:tcW w:type="dxa" w:w="1910"/>
            <w:shd w:fill="17232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本段累计</w:t>
            </w:r>
          </w:p>
        </w:tc>
      </w:tr>
      <w:tr>
        <w:trPr>
          <w:cantSplit/>
        </w:trPr>
        <w:tc>
          <w:tcPr>
            <w:tcW w:type="dxa" w:w="112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第7页</w:t>
            </w:r>
          </w:p>
        </w:tc>
        <w:tc>
          <w:tcPr>
            <w:tcW w:type="dxa" w:w="483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说明证据生成方法</w:t>
            </w:r>
          </w:p>
        </w:tc>
        <w:tc>
          <w:tcPr>
            <w:tcW w:type="dxa" w:w="1517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40秒</w:t>
            </w:r>
          </w:p>
        </w:tc>
        <w:tc>
          <w:tcPr>
            <w:tcW w:type="dxa" w:w="191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0至40秒</w:t>
            </w:r>
          </w:p>
        </w:tc>
      </w:tr>
      <w:tr>
        <w:trPr>
          <w:cantSplit/>
        </w:trPr>
        <w:tc>
          <w:tcPr>
            <w:tcW w:type="dxa" w:w="1124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第8页</w:t>
            </w:r>
          </w:p>
        </w:tc>
        <w:tc>
          <w:tcPr>
            <w:tcW w:type="dxa" w:w="4832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说明可信系统边界</w:t>
            </w:r>
          </w:p>
        </w:tc>
        <w:tc>
          <w:tcPr>
            <w:tcW w:type="dxa" w:w="1517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35秒</w:t>
            </w:r>
          </w:p>
        </w:tc>
        <w:tc>
          <w:tcPr>
            <w:tcW w:type="dxa" w:w="1910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40至75秒</w:t>
            </w:r>
          </w:p>
        </w:tc>
      </w:tr>
      <w:tr>
        <w:trPr>
          <w:cantSplit/>
        </w:trPr>
        <w:tc>
          <w:tcPr>
            <w:tcW w:type="dxa" w:w="112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第13页</w:t>
            </w:r>
          </w:p>
        </w:tc>
        <w:tc>
          <w:tcPr>
            <w:tcW w:type="dxa" w:w="483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说明治理落地机制</w:t>
            </w:r>
          </w:p>
        </w:tc>
        <w:tc>
          <w:tcPr>
            <w:tcW w:type="dxa" w:w="1517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25秒</w:t>
            </w:r>
          </w:p>
        </w:tc>
        <w:tc>
          <w:tcPr>
            <w:tcW w:type="dxa" w:w="191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75至100秒</w:t>
            </w:r>
          </w:p>
        </w:tc>
      </w:tr>
    </w:tbl>
    <w:p>
      <w:pPr>
        <w:spacing w:after="0"/>
      </w:pPr>
    </w:p>
    <w:p>
      <w:pPr>
        <w:pStyle w:val="Heading2"/>
        <w:keepNext w:val="1"/>
      </w:pPr>
      <w:r>
        <w:t>统一叙事句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767"/>
      </w:tblGrid>
      <w:tr>
        <w:trPr>
          <w:cantSplit/>
        </w:trPr>
        <w:tc>
          <w:tcPr>
            <w:tcW w:type="dxa" w:w="4958"/>
            <w:shd w:fill="3E8ED0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一句话</w:t>
            </w:r>
          </w:p>
        </w:tc>
        <w:tc>
          <w:tcPr>
            <w:tcW w:type="dxa" w:w="4958"/>
            <w:shd w:fill="EDF5FB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sz w:val="20"/>
              </w:rPr>
              <w:t>AlphaSplit以更合理的分配机制为手段，把角色贡献转化为可审计证据，调动投研各角色参与积极性、促进协同与决策质量提升，并以长期投资回报改善为目标。</w:t>
            </w:r>
          </w:p>
        </w:tc>
      </w:tr>
    </w:tbl>
    <w:p>
      <w:pPr>
        <w:spacing w:after="0"/>
      </w:pPr>
    </w:p>
    <w:p>
      <w:pPr>
        <w:pStyle w:val="Heading2"/>
        <w:keepNext w:val="1"/>
      </w:pPr>
      <w:r>
        <w:t>必须统一的角色边界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98"/>
        <w:gridCol w:w="3933"/>
        <w:gridCol w:w="3652"/>
      </w:tblGrid>
      <w:tr>
        <w:trPr>
          <w:tblHeader w:val="true"/>
        </w:trPr>
        <w:tc>
          <w:tcPr>
            <w:tcW w:type="dxa" w:w="1798"/>
            <w:shd w:fill="17232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主体</w:t>
            </w:r>
          </w:p>
        </w:tc>
        <w:tc>
          <w:tcPr>
            <w:tcW w:type="dxa" w:w="3933"/>
            <w:shd w:fill="17232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可以做什么</w:t>
            </w:r>
          </w:p>
        </w:tc>
        <w:tc>
          <w:tcPr>
            <w:tcW w:type="dxa" w:w="3652"/>
            <w:shd w:fill="17232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不能做什么</w:t>
            </w:r>
          </w:p>
        </w:tc>
      </w:tr>
      <w:tr>
        <w:trPr>
          <w:cantSplit/>
        </w:trPr>
        <w:tc>
          <w:tcPr>
            <w:tcW w:type="dxa" w:w="179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Agent</w:t>
            </w:r>
          </w:p>
        </w:tc>
        <w:tc>
          <w:tcPr>
            <w:tcW w:type="dxa" w:w="3933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理解自然语言、推荐白名单内因子、组织结构化回测计划、基于可信证据生成解释</w:t>
            </w:r>
          </w:p>
        </w:tc>
        <w:tc>
          <w:tcPr>
            <w:tcW w:type="dxa" w:w="365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不能生成或改写收益率、风险指标、Shapley贡献和最终份额</w:t>
            </w:r>
          </w:p>
        </w:tc>
      </w:tr>
      <w:tr>
        <w:trPr>
          <w:cantSplit/>
        </w:trPr>
        <w:tc>
          <w:tcPr>
            <w:tcW w:type="dxa" w:w="1798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确定性金融引擎</w:t>
            </w:r>
          </w:p>
        </w:tc>
        <w:tc>
          <w:tcPr>
            <w:tcW w:type="dxa" w:w="3933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读取固定数据与配置，执行评分、调仓、成本计算、联盟回测和Shapley计量</w:t>
            </w:r>
          </w:p>
        </w:tc>
        <w:tc>
          <w:tcPr>
            <w:tcW w:type="dxa" w:w="3652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不能替代机构判断，也不自动执行资源划拨</w:t>
            </w:r>
          </w:p>
        </w:tc>
      </w:tr>
      <w:tr>
        <w:trPr>
          <w:cantSplit/>
        </w:trPr>
        <w:tc>
          <w:tcPr>
            <w:tcW w:type="dxa" w:w="179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五类投研角色</w:t>
            </w:r>
          </w:p>
        </w:tc>
        <w:tc>
          <w:tcPr>
            <w:tcW w:type="dxa" w:w="3933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提供决策输入并基于证据陈述意见</w:t>
            </w:r>
          </w:p>
        </w:tc>
        <w:tc>
          <w:tcPr>
            <w:tcW w:type="dxa" w:w="365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陈述不进入建议份额公式，也不是分配决策者</w:t>
            </w:r>
          </w:p>
        </w:tc>
      </w:tr>
      <w:tr>
        <w:trPr>
          <w:cantSplit/>
        </w:trPr>
        <w:tc>
          <w:tcPr>
            <w:tcW w:type="dxa" w:w="1798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评审委员会</w:t>
            </w:r>
          </w:p>
        </w:tc>
        <w:tc>
          <w:tcPr>
            <w:tcW w:type="dxa" w:w="3933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查阅证据、听取陈述、独立调整并确认方案</w:t>
            </w:r>
          </w:p>
        </w:tc>
        <w:tc>
          <w:tcPr>
            <w:tcW w:type="dxa" w:w="3652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不能把系统建议表述为自动裁决或收益承诺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 w:val="1"/>
      </w:pPr>
      <w:r>
        <w:t>第7页 可审计证据链</w:t>
      </w:r>
    </w:p>
    <w:p>
      <w:pPr>
        <w:keepLines w:val="1"/>
      </w:pPr>
      <w:r>
        <w:t>页面标题  从角色决策到评审终裁，形成一条可审计证据链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767"/>
      </w:tblGrid>
      <w:tr>
        <w:trPr>
          <w:cantSplit/>
        </w:trPr>
        <w:tc>
          <w:tcPr>
            <w:tcW w:type="dxa" w:w="4958"/>
            <w:shd w:fill="11B8AF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页面任务</w:t>
            </w:r>
          </w:p>
        </w:tc>
        <w:tc>
          <w:tcPr>
            <w:tcW w:type="dxa" w:w="4958"/>
            <w:shd w:fill="EAF7F6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sz w:val="20"/>
              </w:rPr>
              <w:t>把“角色贡献”从抽象管理问题，转化为可以输入、回测、计算、复核并进入治理的五步技术流程。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61888" cy="33592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61888" cy="3359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color w:val="5C6B73"/>
          <w:sz w:val="17"/>
        </w:rPr>
        <w:t>第7页内容原型  五步证据链与贯穿全程的审计记录</w:t>
      </w:r>
    </w:p>
    <w:p>
      <w:pPr>
        <w:pStyle w:val="Heading2"/>
        <w:keepNext w:val="1"/>
      </w:pPr>
      <w:r>
        <w:t>核心概念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6"/>
        <w:gridCol w:w="4607"/>
        <w:gridCol w:w="3090"/>
      </w:tblGrid>
      <w:tr>
        <w:trPr>
          <w:tblHeader w:val="true"/>
        </w:trPr>
        <w:tc>
          <w:tcPr>
            <w:tcW w:type="dxa" w:w="1686"/>
            <w:shd w:fill="17232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概念</w:t>
            </w:r>
          </w:p>
        </w:tc>
        <w:tc>
          <w:tcPr>
            <w:tcW w:type="dxa" w:w="4607"/>
            <w:shd w:fill="17232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准确含义</w:t>
            </w:r>
          </w:p>
        </w:tc>
        <w:tc>
          <w:tcPr>
            <w:tcW w:type="dxa" w:w="3090"/>
            <w:shd w:fill="17232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答辩时要避免的误解</w:t>
            </w:r>
          </w:p>
        </w:tc>
      </w:tr>
      <w:tr>
        <w:trPr>
          <w:cantSplit/>
        </w:trPr>
        <w:tc>
          <w:tcPr>
            <w:tcW w:type="dxa" w:w="168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角色建模</w:t>
            </w:r>
          </w:p>
        </w:tc>
        <w:tc>
          <w:tcPr>
            <w:tcW w:type="dxa" w:w="4607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把行业、个股、策略、量化、风控五类岗位视为合作博弈中的五个参与者</w:t>
            </w:r>
          </w:p>
        </w:tc>
        <w:tc>
          <w:tcPr>
            <w:tcW w:type="dxa" w:w="309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不是把五个岗位简单变成五个自由对话的大模型</w:t>
            </w:r>
          </w:p>
        </w:tc>
      </w:tr>
      <w:tr>
        <w:trPr>
          <w:cantSplit/>
        </w:trPr>
        <w:tc>
          <w:tcPr>
            <w:tcW w:type="dxa" w:w="1686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因子代理</w:t>
            </w:r>
          </w:p>
        </w:tc>
        <w:tc>
          <w:tcPr>
            <w:tcW w:type="dxa" w:w="4607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用公开、可计算的因子表达角色的决策输入；当前为五角色乘以八因子，共40项输入</w:t>
            </w:r>
          </w:p>
        </w:tc>
        <w:tc>
          <w:tcPr>
            <w:tcW w:type="dxa" w:w="3090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因子是可运行代理，不等同于真实机构的全部决策日志</w:t>
            </w:r>
          </w:p>
        </w:tc>
      </w:tr>
      <w:tr>
        <w:trPr>
          <w:cantSplit/>
        </w:trPr>
        <w:tc>
          <w:tcPr>
            <w:tcW w:type="dxa" w:w="168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角色联盟</w:t>
            </w:r>
          </w:p>
        </w:tc>
        <w:tc>
          <w:tcPr>
            <w:tcW w:type="dxa" w:w="4607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五角色任意组合形成的参与集合S；五个角色共有2的5次方即32个联盟</w:t>
            </w:r>
          </w:p>
        </w:tc>
        <w:tc>
          <w:tcPr>
            <w:tcW w:type="dxa" w:w="309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不是只做删除单个角色的五次对照</w:t>
            </w:r>
          </w:p>
        </w:tc>
      </w:tr>
      <w:tr>
        <w:trPr>
          <w:cantSplit/>
        </w:trPr>
        <w:tc>
          <w:tcPr>
            <w:tcW w:type="dxa" w:w="1686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反事实回测</w:t>
            </w:r>
          </w:p>
        </w:tc>
        <w:tc>
          <w:tcPr>
            <w:tcW w:type="dxa" w:w="4607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只改变角色是否参与，其他数据、基准、成本和调仓口径保持一致，观察联盟结果变化</w:t>
            </w:r>
          </w:p>
        </w:tc>
        <w:tc>
          <w:tcPr>
            <w:tcW w:type="dxa" w:w="3090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不是为每个角色换一套样本或参数</w:t>
            </w:r>
          </w:p>
        </w:tc>
      </w:tr>
      <w:tr>
        <w:trPr>
          <w:cantSplit/>
        </w:trPr>
        <w:tc>
          <w:tcPr>
            <w:tcW w:type="dxa" w:w="168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Shapley贡献</w:t>
            </w:r>
          </w:p>
        </w:tc>
        <w:tc>
          <w:tcPr>
            <w:tcW w:type="dxa" w:w="4607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角色在所有可能联盟中的加权平均边际贡献，用于公平分摊角色交互</w:t>
            </w:r>
          </w:p>
        </w:tc>
        <w:tc>
          <w:tcPr>
            <w:tcW w:type="dxa" w:w="309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贡献可正可负；负值不代表程序出错</w:t>
            </w:r>
          </w:p>
        </w:tc>
      </w:tr>
      <w:tr>
        <w:trPr>
          <w:cantSplit/>
        </w:trPr>
        <w:tc>
          <w:tcPr>
            <w:tcW w:type="dxa" w:w="1686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可审计证据链</w:t>
            </w:r>
          </w:p>
        </w:tc>
        <w:tc>
          <w:tcPr>
            <w:tcW w:type="dxa" w:w="4607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数据版本、因子配置、联盟结果、贡献值、合成建议和人工确认均留痕</w:t>
            </w:r>
          </w:p>
        </w:tc>
        <w:tc>
          <w:tcPr>
            <w:tcW w:type="dxa" w:w="3090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可审计不等于保证未来收益</w:t>
            </w:r>
          </w:p>
        </w:tc>
      </w:tr>
    </w:tbl>
    <w:p>
      <w:pPr>
        <w:spacing w:after="0"/>
      </w:pPr>
    </w:p>
    <w:p>
      <w:pPr>
        <w:pStyle w:val="Heading2"/>
        <w:keepNext w:val="1"/>
      </w:pPr>
      <w:r>
        <w:t>五步流程总览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"/>
        <w:gridCol w:w="1984"/>
        <w:gridCol w:w="2681"/>
        <w:gridCol w:w="1823"/>
        <w:gridCol w:w="1448"/>
      </w:tblGrid>
      <w:tr>
        <w:trPr>
          <w:tblHeader w:val="true"/>
        </w:trPr>
        <w:tc>
          <w:tcPr>
            <w:tcW w:type="dxa" w:w="1448"/>
            <w:shd w:fill="17232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1984"/>
            <w:shd w:fill="17232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输入</w:t>
            </w:r>
          </w:p>
        </w:tc>
        <w:tc>
          <w:tcPr>
            <w:tcW w:type="dxa" w:w="2681"/>
            <w:shd w:fill="17232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处理</w:t>
            </w:r>
          </w:p>
        </w:tc>
        <w:tc>
          <w:tcPr>
            <w:tcW w:type="dxa" w:w="1823"/>
            <w:shd w:fill="17232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输出</w:t>
            </w:r>
          </w:p>
        </w:tc>
        <w:tc>
          <w:tcPr>
            <w:tcW w:type="dxa" w:w="1448"/>
            <w:shd w:fill="17232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审计点</w:t>
            </w:r>
          </w:p>
        </w:tc>
      </w:tr>
      <w:tr>
        <w:trPr>
          <w:cantSplit/>
        </w:trPr>
        <w:tc>
          <w:tcPr>
            <w:tcW w:type="dxa" w:w="144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一 角色建模</w:t>
            </w:r>
          </w:p>
        </w:tc>
        <w:tc>
          <w:tcPr>
            <w:tcW w:type="dxa" w:w="198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投研职责与流程</w:t>
            </w:r>
          </w:p>
        </w:tc>
        <w:tc>
          <w:tcPr>
            <w:tcW w:type="dxa" w:w="268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定义五类角色及职责边界</w:t>
            </w:r>
          </w:p>
        </w:tc>
        <w:tc>
          <w:tcPr>
            <w:tcW w:type="dxa" w:w="1823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角色集合N</w:t>
            </w:r>
          </w:p>
        </w:tc>
        <w:tc>
          <w:tcPr>
            <w:tcW w:type="dxa" w:w="144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角色名称与版本</w:t>
            </w:r>
          </w:p>
        </w:tc>
      </w:tr>
      <w:tr>
        <w:trPr>
          <w:cantSplit/>
        </w:trPr>
        <w:tc>
          <w:tcPr>
            <w:tcW w:type="dxa" w:w="1448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二 因子代理</w:t>
            </w:r>
          </w:p>
        </w:tc>
        <w:tc>
          <w:tcPr>
            <w:tcW w:type="dxa" w:w="1984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客户偏好与因子库</w:t>
            </w:r>
          </w:p>
        </w:tc>
        <w:tc>
          <w:tcPr>
            <w:tcW w:type="dxa" w:w="2681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将偏好映射到白名单内的40项角色因子并人工确认</w:t>
            </w:r>
          </w:p>
        </w:tc>
        <w:tc>
          <w:tcPr>
            <w:tcW w:type="dxa" w:w="1823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生效因子配置</w:t>
            </w:r>
          </w:p>
        </w:tc>
        <w:tc>
          <w:tcPr>
            <w:tcW w:type="dxa" w:w="1448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因子权重与确认记录</w:t>
            </w:r>
          </w:p>
        </w:tc>
      </w:tr>
      <w:tr>
        <w:trPr>
          <w:cantSplit/>
        </w:trPr>
        <w:tc>
          <w:tcPr>
            <w:tcW w:type="dxa" w:w="144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三 反事实回测</w:t>
            </w:r>
          </w:p>
        </w:tc>
        <w:tc>
          <w:tcPr>
            <w:tcW w:type="dxa" w:w="198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固定数据、基准、成本、调仓规则</w:t>
            </w:r>
          </w:p>
        </w:tc>
        <w:tc>
          <w:tcPr>
            <w:tcW w:type="dxa" w:w="268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枚举32个角色联盟并运行同口径Pipeline</w:t>
            </w:r>
          </w:p>
        </w:tc>
        <w:tc>
          <w:tcPr>
            <w:tcW w:type="dxa" w:w="1823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每个联盟的特征函数值v(S)</w:t>
            </w:r>
          </w:p>
        </w:tc>
        <w:tc>
          <w:tcPr>
            <w:tcW w:type="dxa" w:w="144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数据版本与联盟结果</w:t>
            </w:r>
          </w:p>
        </w:tc>
      </w:tr>
      <w:tr>
        <w:trPr>
          <w:cantSplit/>
        </w:trPr>
        <w:tc>
          <w:tcPr>
            <w:tcW w:type="dxa" w:w="1448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四 贡献计量</w:t>
            </w:r>
          </w:p>
        </w:tc>
        <w:tc>
          <w:tcPr>
            <w:tcW w:type="dxa" w:w="1984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32个v(S)</w:t>
            </w:r>
          </w:p>
        </w:tc>
        <w:tc>
          <w:tcPr>
            <w:tcW w:type="dxa" w:w="2681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计算每个角色在全部联盟中的加权平均边际贡献</w:t>
            </w:r>
          </w:p>
        </w:tc>
        <w:tc>
          <w:tcPr>
            <w:tcW w:type="dxa" w:w="1823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带符号Shapley值</w:t>
            </w:r>
          </w:p>
        </w:tc>
        <w:tc>
          <w:tcPr>
            <w:tcW w:type="dxa" w:w="1448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可加性校验</w:t>
            </w:r>
          </w:p>
        </w:tc>
      </w:tr>
      <w:tr>
        <w:trPr>
          <w:cantSplit/>
        </w:trPr>
        <w:tc>
          <w:tcPr>
            <w:tcW w:type="dxa" w:w="144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五 治理决策</w:t>
            </w:r>
          </w:p>
        </w:tc>
        <w:tc>
          <w:tcPr>
            <w:tcW w:type="dxa" w:w="198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现行份额与证据池权重</w:t>
            </w:r>
          </w:p>
        </w:tc>
        <w:tc>
          <w:tcPr>
            <w:tcW w:type="dxa" w:w="268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生成6比4合成建议并展示角色陈述</w:t>
            </w:r>
          </w:p>
        </w:tc>
        <w:tc>
          <w:tcPr>
            <w:tcW w:type="dxa" w:w="1823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供评审委员会调整确认的方案</w:t>
            </w:r>
          </w:p>
        </w:tc>
        <w:tc>
          <w:tcPr>
            <w:tcW w:type="dxa" w:w="144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调整理由与人工确认</w:t>
            </w:r>
          </w:p>
        </w:tc>
      </w:tr>
    </w:tbl>
    <w:p>
      <w:pPr>
        <w:spacing w:after="0"/>
      </w:pPr>
    </w:p>
    <w:p>
      <w:pPr>
        <w:pStyle w:val="Heading3"/>
        <w:keepNext w:val="1"/>
      </w:pPr>
      <w:r>
        <w:t>步骤一 角色建模</w:t>
      </w:r>
    </w:p>
    <w:p>
      <w:pPr>
        <w:keepLines w:val="1"/>
      </w:pPr>
      <w:r>
        <w:t>目的  明确“贡献归因给谁”。系统把行业、个股、策略、量化、风控五类角色定义为贡献计量对象，使组织职责可以进入合作博弈框架。</w:t>
      </w:r>
    </w:p>
    <w:p>
      <w:pPr>
        <w:pStyle w:val="ListBullet"/>
        <w:keepLines w:val="1"/>
      </w:pPr>
      <w:r>
        <w:t>行业角色表达行业配置与行业判断输入。</w:t>
      </w:r>
    </w:p>
    <w:p>
      <w:pPr>
        <w:pStyle w:val="ListBullet"/>
        <w:keepLines w:val="1"/>
      </w:pPr>
      <w:r>
        <w:t>个股角色表达证券筛选与个股研究输入。</w:t>
      </w:r>
    </w:p>
    <w:p>
      <w:pPr>
        <w:pStyle w:val="ListBullet"/>
        <w:keepLines w:val="1"/>
      </w:pPr>
      <w:r>
        <w:t>策略角色表达择时、仓位或策略规则输入。</w:t>
      </w:r>
    </w:p>
    <w:p>
      <w:pPr>
        <w:pStyle w:val="ListBullet"/>
        <w:keepLines w:val="1"/>
      </w:pPr>
      <w:r>
        <w:t>量化角色表达多因子评分与组合构建输入。</w:t>
      </w:r>
    </w:p>
    <w:p>
      <w:pPr>
        <w:pStyle w:val="ListBullet"/>
        <w:keepLines w:val="1"/>
      </w:pPr>
      <w:r>
        <w:t>风控角色表达风险约束、暴露控制与风险投影输入。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767"/>
      </w:tblGrid>
      <w:tr>
        <w:trPr>
          <w:cantSplit/>
        </w:trPr>
        <w:tc>
          <w:tcPr>
            <w:tcW w:type="dxa" w:w="4958"/>
            <w:shd w:fill="3E8ED0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输出标准</w:t>
            </w:r>
          </w:p>
        </w:tc>
        <w:tc>
          <w:tcPr>
            <w:tcW w:type="dxa" w:w="4958"/>
            <w:shd w:fill="F4F6F7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sz w:val="20"/>
              </w:rPr>
              <w:t>输出必须是边界清晰的五角色集合N。后续任何联盟S都是N的子集，避免在回测过程中临时增删角色或改变职责。</w:t>
            </w:r>
          </w:p>
        </w:tc>
      </w:tr>
    </w:tbl>
    <w:p>
      <w:pPr>
        <w:spacing w:after="0"/>
      </w:pPr>
    </w:p>
    <w:p>
      <w:pPr>
        <w:pStyle w:val="Heading3"/>
        <w:keepNext w:val="1"/>
      </w:pPr>
      <w:r>
        <w:t>步骤二 因子代理</w:t>
      </w:r>
    </w:p>
    <w:p>
      <w:pPr>
        <w:keepLines w:val="1"/>
      </w:pPr>
      <w:r>
        <w:t>目的  把难以直接计算的角色判断转化为可回测输入。当前系统为每类角色登记八项因子或参数，共40项输入，并把最终配置交给用户确认。</w:t>
      </w:r>
    </w:p>
    <w:p>
      <w:pPr>
        <w:pStyle w:val="ListBullet"/>
        <w:keepLines w:val="1"/>
      </w:pPr>
      <w:r>
        <w:t>Agent读取客户偏好，只能从因子白名单中提出结构化建议。</w:t>
      </w:r>
    </w:p>
    <w:p>
      <w:pPr>
        <w:pStyle w:val="ListBullet"/>
        <w:keepLines w:val="1"/>
      </w:pPr>
      <w:r>
        <w:t>系统检查字段名称、参数范围、权重归一化和必填项。</w:t>
      </w:r>
    </w:p>
    <w:p>
      <w:pPr>
        <w:pStyle w:val="ListBullet"/>
        <w:keepLines w:val="1"/>
      </w:pPr>
      <w:r>
        <w:t>用户确认后，配置才成为回测输入；未确认的自然语言不直接驱动金融计算。</w:t>
      </w:r>
    </w:p>
    <w:p>
      <w:pPr>
        <w:pStyle w:val="ListBullet"/>
        <w:keepLines w:val="1"/>
      </w:pPr>
      <w:r>
        <w:t>机构落地时可用真实决策日志替换公开因子代理，但后续计量流程不变。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767"/>
      </w:tblGrid>
      <w:tr>
        <w:trPr>
          <w:cantSplit/>
        </w:trPr>
        <w:tc>
          <w:tcPr>
            <w:tcW w:type="dxa" w:w="4958"/>
            <w:shd w:fill="E5A72B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关键口径</w:t>
            </w:r>
          </w:p>
        </w:tc>
        <w:tc>
          <w:tcPr>
            <w:tcW w:type="dxa" w:w="4958"/>
            <w:shd w:fill="FFF6E5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sz w:val="20"/>
              </w:rPr>
              <w:t>五角色乘以八因子描述的是40项可追溯输入，不是40个Agent，也不是声称所有机构都固定使用同一组因子。</w:t>
            </w:r>
          </w:p>
        </w:tc>
      </w:tr>
    </w:tbl>
    <w:p>
      <w:pPr>
        <w:spacing w:after="0"/>
      </w:pPr>
    </w:p>
    <w:p>
      <w:pPr>
        <w:pStyle w:val="Heading3"/>
        <w:keepNext w:val="1"/>
      </w:pPr>
      <w:r>
        <w:t>步骤三 反事实回测</w:t>
      </w:r>
    </w:p>
    <w:p>
      <w:pPr>
        <w:keepLines w:val="1"/>
      </w:pPr>
      <w:r>
        <w:t>目的  构造公平的“有该角色”和“无该角色”对照。对任意角色联盟S，系统只启用S中角色的决策输入，在同一历史区间、同一HS300基准、同一交易成本、同一月度调仓规则下运行组合。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16"/>
      </w:tblGrid>
      <w:tr>
        <w:trPr>
          <w:cantSplit/>
        </w:trPr>
        <w:tc>
          <w:tcPr>
            <w:tcW w:type="dxa" w:w="9916"/>
            <w:shd w:fill="EDF5FB"/>
            <w:tcMar>
              <w:top w:w="170" w:type="dxa"/>
              <w:start w:w="180" w:type="dxa"/>
              <w:bottom w:w="170" w:type="dxa"/>
              <w:end w:w="180" w:type="dxa"/>
            </w:tcMar>
            <w:tcBorders>
              <w:top w:val="single" w:sz="9" w:color="3E8ED0"/>
              <w:left w:val="single" w:sz="9" w:color="3E8ED0"/>
              <w:bottom w:val="single" w:sz="9" w:color="3E8ED0"/>
              <w:right w:val="single" w:sz="9" w:color="3E8ED0"/>
            </w:tcBorders>
          </w:tcPr>
          <w:p>
            <w:pPr>
              <w:jc w:val="center"/>
            </w:pPr>
            <w:r>
              <w:rPr>
                <w:rFonts w:ascii="Cambria Math" w:hAnsi="Cambria Math" w:eastAsia="Microsoft YaHei"/>
                <w:b/>
                <w:sz w:val="25"/>
              </w:rPr>
              <w:t>v(S) = 联盟S的组合收益 − 同期沪深300收益</w:t>
            </w:r>
          </w:p>
          <w:p>
            <w:pPr>
              <w:jc w:val="center"/>
            </w:pPr>
            <w:r>
              <w:rPr>
                <w:color w:val="5C6B73"/>
                <w:sz w:val="17"/>
              </w:rPr>
              <w:t>空联盟只持有基准，因此v(∅)=0；全集v(N)等于完整组合超额收益</w:t>
            </w:r>
          </w:p>
        </w:tc>
      </w:tr>
    </w:tbl>
    <w:p>
      <w:pPr>
        <w:spacing w:after="0"/>
      </w:pPr>
    </w:p>
    <w:p>
      <w:pPr>
        <w:pStyle w:val="ListBullet"/>
        <w:keepLines w:val="1"/>
      </w:pPr>
      <w:r>
        <w:t>五个角色共有32个不同联盟，系统进行全枚举。</w:t>
      </w:r>
    </w:p>
    <w:p>
      <w:pPr>
        <w:pStyle w:val="ListBullet"/>
        <w:keepLines w:val="1"/>
      </w:pPr>
      <w:r>
        <w:t>每次实验只改变角色参与集合，其他条件保持一致。</w:t>
      </w:r>
    </w:p>
    <w:p>
      <w:pPr>
        <w:pStyle w:val="ListBullet"/>
        <w:keepLines w:val="1"/>
      </w:pPr>
      <w:r>
        <w:t>联盟结果连同数据版本、成本假设和配置摘要一起留存。</w:t>
      </w:r>
    </w:p>
    <w:p>
      <w:pPr>
        <w:pStyle w:val="Heading3"/>
        <w:keepNext w:val="1"/>
      </w:pPr>
      <w:r>
        <w:t>步骤四 精确Shapley贡献计量</w:t>
      </w:r>
    </w:p>
    <w:p>
      <w:pPr>
        <w:keepLines w:val="1"/>
      </w:pPr>
      <w:r>
        <w:t>目的  把角色间的交互收益公平地分摊给各角色。仅看“全集减去单角色”的Leave One Out会依赖一个特定背景组合；Shapley值则对角色加入所有可能联盟时的边际贡献进行加权平均。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16"/>
      </w:tblGrid>
      <w:tr>
        <w:trPr>
          <w:cantSplit/>
        </w:trPr>
        <w:tc>
          <w:tcPr>
            <w:tcW w:type="dxa" w:w="9916"/>
            <w:shd w:fill="EDF5FB"/>
            <w:tcMar>
              <w:top w:w="170" w:type="dxa"/>
              <w:start w:w="180" w:type="dxa"/>
              <w:bottom w:w="170" w:type="dxa"/>
              <w:end w:w="180" w:type="dxa"/>
            </w:tcMar>
            <w:tcBorders>
              <w:top w:val="single" w:sz="9" w:color="3E8ED0"/>
              <w:left w:val="single" w:sz="9" w:color="3E8ED0"/>
              <w:bottom w:val="single" w:sz="9" w:color="3E8ED0"/>
              <w:right w:val="single" w:sz="9" w:color="3E8ED0"/>
            </w:tcBorders>
          </w:tcPr>
          <w:p>
            <w:pPr>
              <w:jc w:val="center"/>
            </w:pPr>
            <w:r>
              <w:rPr>
                <w:rFonts w:ascii="Cambria Math" w:hAnsi="Cambria Math" w:eastAsia="Microsoft YaHei"/>
                <w:b/>
                <w:sz w:val="25"/>
              </w:rPr>
              <w:t>φᵢ = Σ  w(S) × [ v(S∪{i}) − v(S) ]</w:t>
            </w:r>
          </w:p>
          <w:p>
            <w:pPr>
              <w:jc w:val="center"/>
            </w:pPr>
            <w:r>
              <w:rPr>
                <w:color w:val="5C6B73"/>
                <w:sz w:val="17"/>
              </w:rPr>
              <w:t>求和遍历所有不含角色i的联盟S；w(S)按联盟规模给予标准Shapley权重</w:t>
            </w:r>
          </w:p>
        </w:tc>
      </w:tr>
    </w:tbl>
    <w:p>
      <w:pPr>
        <w:spacing w:after="0"/>
      </w:pPr>
    </w:p>
    <w:p>
      <w:pPr>
        <w:pStyle w:val="ListBullet"/>
        <w:keepLines w:val="1"/>
      </w:pPr>
      <w:r>
        <w:t>φᵢ大于零  角色在当前区间总体提升组合超额收益。</w:t>
      </w:r>
    </w:p>
    <w:p>
      <w:pPr>
        <w:pStyle w:val="ListBullet"/>
        <w:keepLines w:val="1"/>
      </w:pPr>
      <w:r>
        <w:t>φᵢ小于零  角色在当前区间总体形成拖累，仍应完整保留用于复盘。</w:t>
      </w:r>
    </w:p>
    <w:p>
      <w:pPr>
        <w:pStyle w:val="ListBullet"/>
        <w:keepLines w:val="1"/>
      </w:pPr>
      <w:r>
        <w:t>可加性校验  五个角色的Shapley值之和应等于全集超额收益v(N)。</w:t>
      </w:r>
    </w:p>
    <w:p>
      <w:pPr>
        <w:pStyle w:val="Heading3"/>
        <w:keepNext w:val="1"/>
      </w:pPr>
      <w:r>
        <w:t>步骤五 治理决策</w:t>
      </w:r>
    </w:p>
    <w:p>
      <w:pPr>
        <w:keepLines w:val="1"/>
      </w:pPr>
      <w:r>
        <w:t>目的  让量化证据进入治理，而不是让算法替代治理。带符号Shapley先转化为证据轨内部建议权重，再与机构现行份额按6比4合成。五角色可以陈述贡献依据，但其陈述不进入份额公式。评审委员会查阅证据后独立调整并确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767"/>
      </w:tblGrid>
      <w:tr>
        <w:trPr>
          <w:cantSplit/>
        </w:trPr>
        <w:tc>
          <w:tcPr>
            <w:tcW w:type="dxa" w:w="4958"/>
            <w:shd w:fill="E86F61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权限边界</w:t>
            </w:r>
          </w:p>
        </w:tc>
        <w:tc>
          <w:tcPr>
            <w:tcW w:type="dxa" w:w="4958"/>
            <w:shd w:fill="FDEDEA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sz w:val="20"/>
              </w:rPr>
              <w:t>系统输出的是可核验的合成建议，不自动分配预算、奖金、项目、数据或算力，也不承担评审委员会的最终决策责任。</w:t>
            </w:r>
          </w:p>
        </w:tc>
      </w:tr>
    </w:tbl>
    <w:p>
      <w:pPr>
        <w:spacing w:after="0"/>
      </w:pPr>
    </w:p>
    <w:p>
      <w:pPr>
        <w:pStyle w:val="Heading2"/>
        <w:keepNext w:val="1"/>
      </w:pPr>
      <w:r>
        <w:t>审计链如何贯穿五步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6"/>
        <w:gridCol w:w="4888"/>
        <w:gridCol w:w="2809"/>
      </w:tblGrid>
      <w:tr>
        <w:trPr>
          <w:tblHeader w:val="true"/>
        </w:trPr>
        <w:tc>
          <w:tcPr>
            <w:tcW w:type="dxa" w:w="1686"/>
            <w:shd w:fill="17232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审计对象</w:t>
            </w:r>
          </w:p>
        </w:tc>
        <w:tc>
          <w:tcPr>
            <w:tcW w:type="dxa" w:w="4888"/>
            <w:shd w:fill="17232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至少保留的内容</w:t>
            </w:r>
          </w:p>
        </w:tc>
        <w:tc>
          <w:tcPr>
            <w:tcW w:type="dxa" w:w="2809"/>
            <w:shd w:fill="17232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复核目的</w:t>
            </w:r>
          </w:p>
        </w:tc>
      </w:tr>
      <w:tr>
        <w:trPr>
          <w:cantSplit/>
        </w:trPr>
        <w:tc>
          <w:tcPr>
            <w:tcW w:type="dxa" w:w="168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数据</w:t>
            </w:r>
          </w:p>
        </w:tc>
        <w:tc>
          <w:tcPr>
            <w:tcW w:type="dxa" w:w="488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数据来源、时间区间、缓存版本、行业映射</w:t>
            </w:r>
          </w:p>
        </w:tc>
        <w:tc>
          <w:tcPr>
            <w:tcW w:type="dxa" w:w="2809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证明不同联盟使用同一输入口径</w:t>
            </w:r>
          </w:p>
        </w:tc>
      </w:tr>
      <w:tr>
        <w:trPr>
          <w:cantSplit/>
        </w:trPr>
        <w:tc>
          <w:tcPr>
            <w:tcW w:type="dxa" w:w="1686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配置</w:t>
            </w:r>
          </w:p>
        </w:tc>
        <w:tc>
          <w:tcPr>
            <w:tcW w:type="dxa" w:w="4888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角色、因子、权重、调仓频率、成本、基准、人工确认时间</w:t>
            </w:r>
          </w:p>
        </w:tc>
        <w:tc>
          <w:tcPr>
            <w:tcW w:type="dxa" w:w="2809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证明回测参数可重建</w:t>
            </w:r>
          </w:p>
        </w:tc>
      </w:tr>
      <w:tr>
        <w:trPr>
          <w:cantSplit/>
        </w:trPr>
        <w:tc>
          <w:tcPr>
            <w:tcW w:type="dxa" w:w="168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执行</w:t>
            </w:r>
          </w:p>
        </w:tc>
        <w:tc>
          <w:tcPr>
            <w:tcW w:type="dxa" w:w="488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32个联盟状态、运行日志、异常与降级记录</w:t>
            </w:r>
          </w:p>
        </w:tc>
        <w:tc>
          <w:tcPr>
            <w:tcW w:type="dxa" w:w="2809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证明没有选择性遗漏联盟</w:t>
            </w:r>
          </w:p>
        </w:tc>
      </w:tr>
      <w:tr>
        <w:trPr>
          <w:cantSplit/>
        </w:trPr>
        <w:tc>
          <w:tcPr>
            <w:tcW w:type="dxa" w:w="1686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结果</w:t>
            </w:r>
          </w:p>
        </w:tc>
        <w:tc>
          <w:tcPr>
            <w:tcW w:type="dxa" w:w="4888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联盟收益、完整组合指标、带符号Shapley与可加性校验</w:t>
            </w:r>
          </w:p>
        </w:tc>
        <w:tc>
          <w:tcPr>
            <w:tcW w:type="dxa" w:w="2809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证明贡献结果可复算</w:t>
            </w:r>
          </w:p>
        </w:tc>
      </w:tr>
      <w:tr>
        <w:trPr>
          <w:cantSplit/>
        </w:trPr>
        <w:tc>
          <w:tcPr>
            <w:tcW w:type="dxa" w:w="168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治理</w:t>
            </w:r>
          </w:p>
        </w:tc>
        <w:tc>
          <w:tcPr>
            <w:tcW w:type="dxa" w:w="488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现行份额、证据池权重、合成建议、角色陈述、人工调整与确认</w:t>
            </w:r>
          </w:p>
        </w:tc>
        <w:tc>
          <w:tcPr>
            <w:tcW w:type="dxa" w:w="2809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证明系统建议和最终决策有边界</w:t>
            </w:r>
          </w:p>
        </w:tc>
      </w:tr>
    </w:tbl>
    <w:p>
      <w:pPr>
        <w:spacing w:after="0"/>
      </w:pPr>
    </w:p>
    <w:p>
      <w:pPr>
        <w:pStyle w:val="Heading2"/>
        <w:keepNext w:val="1"/>
      </w:pPr>
      <w:r>
        <w:t>页面视觉与动画顺序</w:t>
      </w:r>
    </w:p>
    <w:p>
      <w:pPr>
        <w:pStyle w:val="ListBullet"/>
        <w:keepLines w:val="1"/>
      </w:pPr>
      <w:r>
        <w:t>先出现标题和副标题，让评委先接受“统一口径”这一前提。</w:t>
      </w:r>
    </w:p>
    <w:p>
      <w:pPr>
        <w:pStyle w:val="ListBullet"/>
        <w:keepLines w:val="1"/>
      </w:pPr>
      <w:r>
        <w:t>五张流程卡从左到右依次出现，讲到哪一步就高亮哪一步。</w:t>
      </w:r>
    </w:p>
    <w:p>
      <w:pPr>
        <w:pStyle w:val="ListBullet"/>
        <w:keepLines w:val="1"/>
      </w:pPr>
      <w:r>
        <w:t>最后出现底部审计记录条和右侧Agent边界，收束为“可复算、非生成事实”。</w:t>
      </w:r>
    </w:p>
    <w:p>
      <w:pPr>
        <w:pStyle w:val="ListBullet"/>
        <w:keepLines w:val="1"/>
      </w:pPr>
      <w:r>
        <w:t>不要在此页展开6比4公式细节，只说“进入证据轨并由评审委员会确认”，把细节留到第13页。</w:t>
      </w:r>
    </w:p>
    <w:p>
      <w:pPr>
        <w:pStyle w:val="Heading2"/>
        <w:keepNext w:val="1"/>
      </w:pPr>
      <w:r>
        <w:t>现场讲解词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16"/>
      </w:tblGrid>
      <w:tr>
        <w:trPr>
          <w:cantSplit/>
        </w:trPr>
        <w:tc>
          <w:tcPr>
            <w:tcW w:type="dxa" w:w="9916"/>
            <w:shd w:fill="17232D"/>
            <w:tcMar>
              <w:top w:w="90" w:type="dxa"/>
              <w:start w:w="170" w:type="dxa"/>
              <w:bottom w:w="90" w:type="dxa"/>
              <w:end w:w="170" w:type="dxa"/>
            </w:tcMar>
          </w:tcPr>
          <w:p>
            <w:r>
              <w:rPr>
                <w:b/>
                <w:color w:val="FFFFFF"/>
              </w:rPr>
              <w:t>现场讲解词  建议40秒</w:t>
            </w:r>
          </w:p>
        </w:tc>
      </w:tr>
      <w:tr>
        <w:trPr>
          <w:cantSplit/>
        </w:trPr>
        <w:tc>
          <w:tcPr>
            <w:tcW w:type="dxa" w:w="9916"/>
            <w:shd w:fill="F4F6F7"/>
            <w:tcMar>
              <w:top w:w="170" w:type="dxa"/>
              <w:start w:w="190" w:type="dxa"/>
              <w:bottom w:w="170" w:type="dxa"/>
              <w:end w:w="190" w:type="dxa"/>
            </w:tcMar>
          </w:tcPr>
          <w:p>
            <w:r>
              <w:rPr>
                <w:i/>
                <w:sz w:val="20"/>
              </w:rPr>
              <w:t>我们的核心不是再做一套收益归因，而是把每个角色的决策输入转成一条可审计证据链。首先将行业、个股、策略、量化、风控五类角色映射到40项因子输入；人工确认配置后，在同一数据、同一成本、同一基准下，对32个角色联盟进行反事实回测；随后用精确Shapley得到每个角色带符号的边际贡献。最后，贡献证据只进入证据轨，与现行制度形成合成建议，再由评审委员会独立确认。整个链路的输入、版本和结果都能复算。</w:t>
            </w:r>
          </w:p>
        </w:tc>
      </w:tr>
    </w:tbl>
    <w:p>
      <w:pPr>
        <w:spacing w:after="0"/>
      </w:pPr>
    </w:p>
    <w:p>
      <w:pPr>
        <w:pStyle w:val="Heading2"/>
        <w:keepNext w:val="1"/>
      </w:pPr>
      <w:r>
        <w:t>页间衔接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98"/>
        <w:gridCol w:w="7585"/>
      </w:tblGrid>
      <w:tr>
        <w:trPr>
          <w:tblHeader w:val="true"/>
        </w:trPr>
        <w:tc>
          <w:tcPr>
            <w:tcW w:type="dxa" w:w="1798"/>
            <w:shd w:fill="17232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7585"/>
            <w:shd w:fill="17232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衔接话术</w:t>
            </w:r>
          </w:p>
        </w:tc>
      </w:tr>
      <w:tr>
        <w:trPr>
          <w:cantSplit/>
        </w:trPr>
        <w:tc>
          <w:tcPr>
            <w:tcW w:type="dxa" w:w="179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承接上一页</w:t>
            </w:r>
          </w:p>
        </w:tc>
        <w:tc>
          <w:tcPr>
            <w:tcW w:type="dxa" w:w="7585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前面说明了为什么要把投研角色贡献从主观评价变成量化证据，下面看这条证据是怎样生成的。</w:t>
            </w:r>
          </w:p>
        </w:tc>
      </w:tr>
      <w:tr>
        <w:trPr>
          <w:cantSplit/>
        </w:trPr>
        <w:tc>
          <w:tcPr>
            <w:tcW w:type="dxa" w:w="1798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进入第8页</w:t>
            </w:r>
          </w:p>
        </w:tc>
        <w:tc>
          <w:tcPr>
            <w:tcW w:type="dxa" w:w="7585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这条链路要可信，关键是不能让大模型直接生成金融结果，因此我们在系统架构上做了明确分层。</w:t>
            </w:r>
          </w:p>
        </w:tc>
      </w:tr>
    </w:tbl>
    <w:p>
      <w:pPr>
        <w:spacing w:after="0"/>
      </w:pPr>
    </w:p>
    <w:p>
      <w:pPr>
        <w:pStyle w:val="Heading2"/>
        <w:keepNext w:val="1"/>
      </w:pPr>
      <w:r>
        <w:t>可能问答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09"/>
        <w:gridCol w:w="6573"/>
      </w:tblGrid>
      <w:tr>
        <w:trPr>
          <w:tblHeader w:val="true"/>
        </w:trPr>
        <w:tc>
          <w:tcPr>
            <w:tcW w:type="dxa" w:w="2809"/>
            <w:shd w:fill="17232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评委可能提问</w:t>
            </w:r>
          </w:p>
        </w:tc>
        <w:tc>
          <w:tcPr>
            <w:tcW w:type="dxa" w:w="6573"/>
            <w:shd w:fill="17232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建议回答</w:t>
            </w:r>
          </w:p>
        </w:tc>
      </w:tr>
      <w:tr>
        <w:trPr>
          <w:cantSplit/>
        </w:trPr>
        <w:tc>
          <w:tcPr>
            <w:tcW w:type="dxa" w:w="2809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为什么是32个联盟</w:t>
            </w:r>
          </w:p>
        </w:tc>
        <w:tc>
          <w:tcPr>
            <w:tcW w:type="dxa" w:w="6573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五个角色的任意子集共有2的5次方即32种。当前角色数较少，完整枚举可承受，因此使用精确Shapley而不是抽样近似。</w:t>
            </w:r>
          </w:p>
        </w:tc>
      </w:tr>
      <w:tr>
        <w:trPr>
          <w:cantSplit/>
        </w:trPr>
        <w:tc>
          <w:tcPr>
            <w:tcW w:type="dxa" w:w="2809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因子能代表真实角色吗</w:t>
            </w:r>
          </w:p>
        </w:tc>
        <w:tc>
          <w:tcPr>
            <w:tcW w:type="dxa" w:w="6573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当前公开因子是角色决策输入的可运行代理，用于验证方法和产品闭环；机构落地时可替换为脱敏后的真实决策日志，计量框架不变。</w:t>
            </w:r>
          </w:p>
        </w:tc>
      </w:tr>
      <w:tr>
        <w:trPr>
          <w:cantSplit/>
        </w:trPr>
        <w:tc>
          <w:tcPr>
            <w:tcW w:type="dxa" w:w="2809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负贡献是不是说明这个岗位没价值</w:t>
            </w:r>
          </w:p>
        </w:tc>
        <w:tc>
          <w:tcPr>
            <w:tcW w:type="dxa" w:w="6573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不是。它只说明在特定区间、特定配置下的平均边际作用为负，用于复盘而非永久评价，更不能直接等同于人员价值。</w:t>
            </w:r>
          </w:p>
        </w:tc>
      </w:tr>
      <w:tr>
        <w:trPr>
          <w:cantSplit/>
        </w:trPr>
        <w:tc>
          <w:tcPr>
            <w:tcW w:type="dxa" w:w="2809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历史回测能否证明未来收益</w:t>
            </w:r>
          </w:p>
        </w:tc>
        <w:tc>
          <w:tcPr>
            <w:tcW w:type="dxa" w:w="6573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不能。回测提供可复算的历史证据，不构成收益承诺；项目目标是改善协同和决策质量，长期促进投资回报。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 w:val="1"/>
      </w:pPr>
      <w:r>
        <w:t>第8页 四层系统架构</w:t>
      </w:r>
    </w:p>
    <w:p>
      <w:pPr>
        <w:keepLines w:val="1"/>
      </w:pPr>
      <w:r>
        <w:t>页面标题  AlphaSplit系统架构  智能交互、确定性计算与人工治理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767"/>
      </w:tblGrid>
      <w:tr>
        <w:trPr>
          <w:cantSplit/>
        </w:trPr>
        <w:tc>
          <w:tcPr>
            <w:tcW w:type="dxa" w:w="4958"/>
            <w:shd w:fill="3E8ED0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页面任务</w:t>
            </w:r>
          </w:p>
        </w:tc>
        <w:tc>
          <w:tcPr>
            <w:tcW w:type="dxa" w:w="4958"/>
            <w:shd w:fill="EDF5FB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sz w:val="20"/>
              </w:rPr>
              <w:t>回答可信性问题  Agent负责理解和组织，确定性金融引擎负责计算事实，人工治理负责最终确认。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61888" cy="33592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61888" cy="3359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color w:val="5C6B73"/>
          <w:sz w:val="17"/>
        </w:rPr>
        <w:t>第8页内容原型  四层架构与贯穿四层的审计脊柱</w:t>
      </w:r>
    </w:p>
    <w:p>
      <w:pPr>
        <w:pStyle w:val="Heading2"/>
        <w:keepNext w:val="1"/>
      </w:pPr>
      <w:r>
        <w:t>核心概念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6"/>
        <w:gridCol w:w="3018"/>
        <w:gridCol w:w="4809"/>
      </w:tblGrid>
      <w:tr>
        <w:trPr>
          <w:tblHeader w:val="true"/>
        </w:trPr>
        <w:tc>
          <w:tcPr>
            <w:tcW w:type="dxa" w:w="1556"/>
            <w:shd w:fill="17232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概念</w:t>
            </w:r>
          </w:p>
        </w:tc>
        <w:tc>
          <w:tcPr>
            <w:tcW w:type="dxa" w:w="3018"/>
            <w:shd w:fill="17232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4809"/>
            <w:shd w:fill="17232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在AlphaSplit中的落点</w:t>
            </w:r>
          </w:p>
        </w:tc>
      </w:tr>
      <w:tr>
        <w:trPr>
          <w:cantSplit/>
        </w:trPr>
        <w:tc>
          <w:tcPr>
            <w:tcW w:type="dxa" w:w="155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分层架构</w:t>
            </w:r>
          </w:p>
        </w:tc>
        <w:tc>
          <w:tcPr>
            <w:tcW w:type="dxa" w:w="3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把不同责任、数据和变更频率拆到独立层级</w:t>
            </w:r>
          </w:p>
        </w:tc>
        <w:tc>
          <w:tcPr>
            <w:tcW w:type="dxa" w:w="4809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数据与审计层、金融计算层、Agent编排层、交互与治理层</w:t>
            </w:r>
          </w:p>
        </w:tc>
      </w:tr>
      <w:tr>
        <w:trPr>
          <w:cantSplit/>
        </w:trPr>
        <w:tc>
          <w:tcPr>
            <w:tcW w:type="dxa" w:w="1556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确定性引擎</w:t>
            </w:r>
          </w:p>
        </w:tc>
        <w:tc>
          <w:tcPr>
            <w:tcW w:type="dxa" w:w="3018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同一输入和版本应得到同一可复算结果</w:t>
            </w:r>
          </w:p>
        </w:tc>
        <w:tc>
          <w:tcPr>
            <w:tcW w:type="dxa" w:w="4809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40因子评分、月度调仓、交易成本、32联盟回测、精确Shapley</w:t>
            </w:r>
          </w:p>
        </w:tc>
      </w:tr>
      <w:tr>
        <w:trPr>
          <w:cantSplit/>
        </w:trPr>
        <w:tc>
          <w:tcPr>
            <w:tcW w:type="dxa" w:w="155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受约束Agent</w:t>
            </w:r>
          </w:p>
        </w:tc>
        <w:tc>
          <w:tcPr>
            <w:tcW w:type="dxa" w:w="3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只能在白名单、参数范围和证据引用规则内生成结构化建议</w:t>
            </w:r>
          </w:p>
        </w:tc>
        <w:tc>
          <w:tcPr>
            <w:tcW w:type="dxa" w:w="4809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DeepSeek在线模式或离线缓存，失败时规则降级，提交前人工确认</w:t>
            </w:r>
          </w:p>
        </w:tc>
      </w:tr>
      <w:tr>
        <w:trPr>
          <w:cantSplit/>
        </w:trPr>
        <w:tc>
          <w:tcPr>
            <w:tcW w:type="dxa" w:w="1556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离线缓存</w:t>
            </w:r>
          </w:p>
        </w:tc>
        <w:tc>
          <w:tcPr>
            <w:tcW w:type="dxa" w:w="3018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预置并经过同样校验的Agent响应</w:t>
            </w:r>
          </w:p>
        </w:tc>
        <w:tc>
          <w:tcPr>
            <w:tcW w:type="dxa" w:w="4809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无API Key或无网络时仍能完整演示，不代表绕过校验</w:t>
            </w:r>
          </w:p>
        </w:tc>
      </w:tr>
      <w:tr>
        <w:trPr>
          <w:cantSplit/>
        </w:trPr>
        <w:tc>
          <w:tcPr>
            <w:tcW w:type="dxa" w:w="155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审计脊柱</w:t>
            </w:r>
          </w:p>
        </w:tc>
        <w:tc>
          <w:tcPr>
            <w:tcW w:type="dxa" w:w="3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输入、版本、执行和结果的追踪能力贯穿所有层</w:t>
            </w:r>
          </w:p>
        </w:tc>
        <w:tc>
          <w:tcPr>
            <w:tcW w:type="dxa" w:w="4809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从数据版本到人工确认均可查</w:t>
            </w:r>
          </w:p>
        </w:tc>
      </w:tr>
    </w:tbl>
    <w:p>
      <w:pPr>
        <w:spacing w:after="0"/>
      </w:pPr>
    </w:p>
    <w:p>
      <w:pPr>
        <w:pStyle w:val="Heading2"/>
        <w:keepNext w:val="1"/>
      </w:pPr>
      <w:r>
        <w:t>四层输入处理输出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6"/>
        <w:gridCol w:w="1762"/>
        <w:gridCol w:w="2572"/>
        <w:gridCol w:w="1810"/>
        <w:gridCol w:w="1762"/>
      </w:tblGrid>
      <w:tr>
        <w:trPr>
          <w:tblHeader w:val="true"/>
        </w:trPr>
        <w:tc>
          <w:tcPr>
            <w:tcW w:type="dxa" w:w="1476"/>
            <w:shd w:fill="17232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1762"/>
            <w:shd w:fill="17232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主要输入</w:t>
            </w:r>
          </w:p>
        </w:tc>
        <w:tc>
          <w:tcPr>
            <w:tcW w:type="dxa" w:w="2572"/>
            <w:shd w:fill="17232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核心处理</w:t>
            </w:r>
          </w:p>
        </w:tc>
        <w:tc>
          <w:tcPr>
            <w:tcW w:type="dxa" w:w="1810"/>
            <w:shd w:fill="17232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主要输出</w:t>
            </w:r>
          </w:p>
        </w:tc>
        <w:tc>
          <w:tcPr>
            <w:tcW w:type="dxa" w:w="1762"/>
            <w:shd w:fill="17232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可信边界</w:t>
            </w:r>
          </w:p>
        </w:tc>
      </w:tr>
      <w:tr>
        <w:trPr>
          <w:cantSplit/>
        </w:trPr>
        <w:tc>
          <w:tcPr>
            <w:tcW w:type="dxa" w:w="147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L1 数据与审计层</w:t>
            </w:r>
          </w:p>
        </w:tc>
        <w:tc>
          <w:tcPr>
            <w:tcW w:type="dxa" w:w="176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HS300行情、行业映射、公开因子</w:t>
            </w:r>
          </w:p>
        </w:tc>
        <w:tc>
          <w:tcPr>
            <w:tcW w:type="dxa" w:w="257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版本固定、缓存管理、月度诊断、日志记录</w:t>
            </w:r>
          </w:p>
        </w:tc>
        <w:tc>
          <w:tcPr>
            <w:tcW w:type="dxa" w:w="181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可重建的数据快照与审计信息</w:t>
            </w:r>
          </w:p>
        </w:tc>
        <w:tc>
          <w:tcPr>
            <w:tcW w:type="dxa" w:w="176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不生成投资结论</w:t>
            </w:r>
          </w:p>
        </w:tc>
      </w:tr>
      <w:tr>
        <w:trPr>
          <w:cantSplit/>
        </w:trPr>
        <w:tc>
          <w:tcPr>
            <w:tcW w:type="dxa" w:w="1476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L2 金融计算层</w:t>
            </w:r>
          </w:p>
        </w:tc>
        <w:tc>
          <w:tcPr>
            <w:tcW w:type="dxa" w:w="1762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固定数据与已确认配置</w:t>
            </w:r>
          </w:p>
        </w:tc>
        <w:tc>
          <w:tcPr>
            <w:tcW w:type="dxa" w:w="2572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评分、调仓、成本、32联盟回测、精确Shapley</w:t>
            </w:r>
          </w:p>
        </w:tc>
        <w:tc>
          <w:tcPr>
            <w:tcW w:type="dxa" w:w="1810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收益风险指标、联盟值、角色贡献</w:t>
            </w:r>
          </w:p>
        </w:tc>
        <w:tc>
          <w:tcPr>
            <w:tcW w:type="dxa" w:w="1762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不接受LLM直接写入结果</w:t>
            </w:r>
          </w:p>
        </w:tc>
      </w:tr>
      <w:tr>
        <w:trPr>
          <w:cantSplit/>
        </w:trPr>
        <w:tc>
          <w:tcPr>
            <w:tcW w:type="dxa" w:w="147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L3 Agent编排层</w:t>
            </w:r>
          </w:p>
        </w:tc>
        <w:tc>
          <w:tcPr>
            <w:tcW w:type="dxa" w:w="176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自然语言偏好、白名单、可信结果</w:t>
            </w:r>
          </w:p>
        </w:tc>
        <w:tc>
          <w:tcPr>
            <w:tcW w:type="dxa" w:w="257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配置建议、参数校验、规划、证据约束解读、规则降级</w:t>
            </w:r>
          </w:p>
        </w:tc>
        <w:tc>
          <w:tcPr>
            <w:tcW w:type="dxa" w:w="181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结构化计划与解释文本</w:t>
            </w:r>
          </w:p>
        </w:tc>
        <w:tc>
          <w:tcPr>
            <w:tcW w:type="dxa" w:w="176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不生成金融事实，不终裁</w:t>
            </w:r>
          </w:p>
        </w:tc>
      </w:tr>
      <w:tr>
        <w:trPr>
          <w:cantSplit/>
        </w:trPr>
        <w:tc>
          <w:tcPr>
            <w:tcW w:type="dxa" w:w="1476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L4 交互与治理层</w:t>
            </w:r>
          </w:p>
        </w:tc>
        <w:tc>
          <w:tcPr>
            <w:tcW w:type="dxa" w:w="1762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客户偏好、结构化建议、回测证据、现行份额</w:t>
            </w:r>
          </w:p>
        </w:tc>
        <w:tc>
          <w:tcPr>
            <w:tcW w:type="dxa" w:w="2572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确认配置、展示证据、收集角色陈述、评审调整确认</w:t>
            </w:r>
          </w:p>
        </w:tc>
        <w:tc>
          <w:tcPr>
            <w:tcW w:type="dxa" w:w="1810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可应用的人工确认方案</w:t>
            </w:r>
          </w:p>
        </w:tc>
        <w:tc>
          <w:tcPr>
            <w:tcW w:type="dxa" w:w="1762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系统不自动执行划拨</w:t>
            </w:r>
          </w:p>
        </w:tc>
      </w:tr>
    </w:tbl>
    <w:p>
      <w:pPr>
        <w:spacing w:after="0"/>
      </w:pPr>
    </w:p>
    <w:p>
      <w:pPr>
        <w:pStyle w:val="Heading2"/>
        <w:keepNext w:val="1"/>
      </w:pPr>
      <w:r>
        <w:t>层间调用顺序</w:t>
      </w:r>
    </w:p>
    <w:p>
      <w:pPr>
        <w:pStyle w:val="ListBullet"/>
        <w:keepLines w:val="1"/>
      </w:pPr>
      <w:r>
        <w:t>一  用户在交互层输入投资偏好，并选择在线Agent或离线完整演示。</w:t>
      </w:r>
    </w:p>
    <w:p>
      <w:pPr>
        <w:pStyle w:val="ListBullet"/>
        <w:keepLines w:val="1"/>
      </w:pPr>
      <w:r>
        <w:t>二  Agent层将自然语言转为因子白名单内的结构化配置建议。</w:t>
      </w:r>
    </w:p>
    <w:p>
      <w:pPr>
        <w:pStyle w:val="ListBullet"/>
        <w:keepLines w:val="1"/>
      </w:pPr>
      <w:r>
        <w:t>三  参数校验检查字段、类型、范围、归一化和必填项。</w:t>
      </w:r>
    </w:p>
    <w:p>
      <w:pPr>
        <w:pStyle w:val="ListBullet"/>
        <w:keepLines w:val="1"/>
      </w:pPr>
      <w:r>
        <w:t>四  用户在交互层确认配置；只有已确认配置可以进入回测。</w:t>
      </w:r>
    </w:p>
    <w:p>
      <w:pPr>
        <w:pStyle w:val="ListBullet"/>
        <w:keepLines w:val="1"/>
      </w:pPr>
      <w:r>
        <w:t>五  金融计算层从数据层读取固定版本的行情、行业和因子。</w:t>
      </w:r>
    </w:p>
    <w:p>
      <w:pPr>
        <w:pStyle w:val="ListBullet"/>
        <w:keepLines w:val="1"/>
      </w:pPr>
      <w:r>
        <w:t>六  引擎执行完整组合与32个角色联盟的同口径回测。</w:t>
      </w:r>
    </w:p>
    <w:p>
      <w:pPr>
        <w:pStyle w:val="ListBullet"/>
        <w:keepLines w:val="1"/>
      </w:pPr>
      <w:r>
        <w:t>七  引擎计算绩效指标、带符号Shapley贡献和可加性校验。</w:t>
      </w:r>
    </w:p>
    <w:p>
      <w:pPr>
        <w:pStyle w:val="ListBullet"/>
        <w:keepLines w:val="1"/>
      </w:pPr>
      <w:r>
        <w:t>八  结果写入审计记录，并通过证据白名单提供给Agent解释。</w:t>
      </w:r>
    </w:p>
    <w:p>
      <w:pPr>
        <w:pStyle w:val="ListBullet"/>
        <w:keepLines w:val="1"/>
      </w:pPr>
      <w:r>
        <w:t>九  交互层展示原始数值、图表、解释和角色陈述参考。</w:t>
      </w:r>
    </w:p>
    <w:p>
      <w:pPr>
        <w:pStyle w:val="ListBullet"/>
        <w:keepLines w:val="1"/>
      </w:pPr>
      <w:r>
        <w:t>十  评审委员会基于证据独立调整确认，系统记录最终决定。</w:t>
      </w:r>
    </w:p>
    <w:p>
      <w:pPr>
        <w:pStyle w:val="Heading2"/>
        <w:keepNext w:val="1"/>
      </w:pPr>
      <w:r>
        <w:t>在线与离线路径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68"/>
        <w:gridCol w:w="3832"/>
        <w:gridCol w:w="2063"/>
        <w:gridCol w:w="1719"/>
      </w:tblGrid>
      <w:tr>
        <w:trPr>
          <w:tblHeader w:val="true"/>
        </w:trPr>
        <w:tc>
          <w:tcPr>
            <w:tcW w:type="dxa" w:w="1768"/>
            <w:shd w:fill="17232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3832"/>
            <w:shd w:fill="17232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执行路径</w:t>
            </w:r>
          </w:p>
        </w:tc>
        <w:tc>
          <w:tcPr>
            <w:tcW w:type="dxa" w:w="2063"/>
            <w:shd w:fill="17232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用户看到什么</w:t>
            </w:r>
          </w:p>
        </w:tc>
        <w:tc>
          <w:tcPr>
            <w:tcW w:type="dxa" w:w="1719"/>
            <w:shd w:fill="17232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金融结果是否变化</w:t>
            </w:r>
          </w:p>
        </w:tc>
      </w:tr>
      <w:tr>
        <w:trPr>
          <w:cantSplit/>
        </w:trPr>
        <w:tc>
          <w:tcPr>
            <w:tcW w:type="dxa" w:w="176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配置了API Key</w:t>
            </w:r>
          </w:p>
        </w:tc>
        <w:tc>
          <w:tcPr>
            <w:tcW w:type="dxa" w:w="383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自然语言 → DeepSeek → 结构化建议 → 本地校验 → 人工确认</w:t>
            </w:r>
          </w:p>
        </w:tc>
        <w:tc>
          <w:tcPr>
            <w:tcW w:type="dxa" w:w="2063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在线Agent建议与来源标识</w:t>
            </w:r>
          </w:p>
        </w:tc>
        <w:tc>
          <w:tcPr>
            <w:tcW w:type="dxa" w:w="1719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不会；金融结果仍由本地确定性引擎计算</w:t>
            </w:r>
          </w:p>
        </w:tc>
      </w:tr>
      <w:tr>
        <w:trPr>
          <w:cantSplit/>
        </w:trPr>
        <w:tc>
          <w:tcPr>
            <w:tcW w:type="dxa" w:w="1768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未配置API Key且命中缓存</w:t>
            </w:r>
          </w:p>
        </w:tc>
        <w:tc>
          <w:tcPr>
            <w:tcW w:type="dxa" w:w="3832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自然语言 → 预置Agent响应 → 本地校验 → 人工确认</w:t>
            </w:r>
          </w:p>
        </w:tc>
        <w:tc>
          <w:tcPr>
            <w:tcW w:type="dxa" w:w="2063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离线完整演示与缓存来源标识</w:t>
            </w:r>
          </w:p>
        </w:tc>
        <w:tc>
          <w:tcPr>
            <w:tcW w:type="dxa" w:w="1719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不会；缓存只提供配置建议</w:t>
            </w:r>
          </w:p>
        </w:tc>
      </w:tr>
      <w:tr>
        <w:trPr>
          <w:cantSplit/>
        </w:trPr>
        <w:tc>
          <w:tcPr>
            <w:tcW w:type="dxa" w:w="176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未命中缓存或在线失败</w:t>
            </w:r>
          </w:p>
        </w:tc>
        <w:tc>
          <w:tcPr>
            <w:tcW w:type="dxa" w:w="383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自然语言 → 规则Agent降级 → 本地校验 → 人工确认</w:t>
            </w:r>
          </w:p>
        </w:tc>
        <w:tc>
          <w:tcPr>
            <w:tcW w:type="dxa" w:w="2063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可解释的降级建议与提示</w:t>
            </w:r>
          </w:p>
        </w:tc>
        <w:tc>
          <w:tcPr>
            <w:tcW w:type="dxa" w:w="1719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不会；回测入口和计算逻辑不变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767"/>
      </w:tblGrid>
      <w:tr>
        <w:trPr>
          <w:cantSplit/>
        </w:trPr>
        <w:tc>
          <w:tcPr>
            <w:tcW w:type="dxa" w:w="4958"/>
            <w:shd w:fill="E5A72B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关键澄清</w:t>
            </w:r>
          </w:p>
        </w:tc>
        <w:tc>
          <w:tcPr>
            <w:tcW w:type="dxa" w:w="4958"/>
            <w:shd w:fill="FFF6E5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sz w:val="20"/>
              </w:rPr>
              <w:t>离线缓存缓存的是Agent处理后的结构化建议，不是伪造的金融结果。回测收益、风险和贡献仍由确定性引擎依据本地数据重新计算。</w:t>
            </w:r>
          </w:p>
        </w:tc>
      </w:tr>
    </w:tbl>
    <w:p>
      <w:pPr>
        <w:spacing w:after="0"/>
      </w:pPr>
    </w:p>
    <w:p>
      <w:pPr>
        <w:pStyle w:val="Heading2"/>
        <w:keepNext w:val="1"/>
      </w:pPr>
      <w:r>
        <w:t>确定性计算与大模型的边界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6"/>
        <w:gridCol w:w="2751"/>
        <w:gridCol w:w="4176"/>
      </w:tblGrid>
      <w:tr>
        <w:trPr>
          <w:tblHeader w:val="true"/>
        </w:trPr>
        <w:tc>
          <w:tcPr>
            <w:tcW w:type="dxa" w:w="2456"/>
            <w:shd w:fill="17232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2751"/>
            <w:shd w:fill="17232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负责模块</w:t>
            </w:r>
          </w:p>
        </w:tc>
        <w:tc>
          <w:tcPr>
            <w:tcW w:type="dxa" w:w="4176"/>
            <w:shd w:fill="17232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理由</w:t>
            </w:r>
          </w:p>
        </w:tc>
      </w:tr>
      <w:tr>
        <w:trPr>
          <w:cantSplit/>
        </w:trPr>
        <w:tc>
          <w:tcPr>
            <w:tcW w:type="dxa" w:w="245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理解客户偏好</w:t>
            </w:r>
          </w:p>
        </w:tc>
        <w:tc>
          <w:tcPr>
            <w:tcW w:type="dxa" w:w="275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Agent</w:t>
            </w:r>
          </w:p>
        </w:tc>
        <w:tc>
          <w:tcPr>
            <w:tcW w:type="dxa" w:w="417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自然语言存在表达差异，适合语义理解</w:t>
            </w:r>
          </w:p>
        </w:tc>
      </w:tr>
      <w:tr>
        <w:trPr>
          <w:cantSplit/>
        </w:trPr>
        <w:tc>
          <w:tcPr>
            <w:tcW w:type="dxa" w:w="2456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推荐因子配置</w:t>
            </w:r>
          </w:p>
        </w:tc>
        <w:tc>
          <w:tcPr>
            <w:tcW w:type="dxa" w:w="2751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Agent加白名单和校验</w:t>
            </w:r>
          </w:p>
        </w:tc>
        <w:tc>
          <w:tcPr>
            <w:tcW w:type="dxa" w:w="4176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需要交互灵活性，但必须受约束</w:t>
            </w:r>
          </w:p>
        </w:tc>
      </w:tr>
      <w:tr>
        <w:trPr>
          <w:cantSplit/>
        </w:trPr>
        <w:tc>
          <w:tcPr>
            <w:tcW w:type="dxa" w:w="245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收益率与风险指标</w:t>
            </w:r>
          </w:p>
        </w:tc>
        <w:tc>
          <w:tcPr>
            <w:tcW w:type="dxa" w:w="275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确定性金融引擎</w:t>
            </w:r>
          </w:p>
        </w:tc>
        <w:tc>
          <w:tcPr>
            <w:tcW w:type="dxa" w:w="417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数值必须可重复计算</w:t>
            </w:r>
          </w:p>
        </w:tc>
      </w:tr>
      <w:tr>
        <w:trPr>
          <w:cantSplit/>
        </w:trPr>
        <w:tc>
          <w:tcPr>
            <w:tcW w:type="dxa" w:w="2456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32联盟反事实</w:t>
            </w:r>
          </w:p>
        </w:tc>
        <w:tc>
          <w:tcPr>
            <w:tcW w:type="dxa" w:w="2751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确定性金融引擎</w:t>
            </w:r>
          </w:p>
        </w:tc>
        <w:tc>
          <w:tcPr>
            <w:tcW w:type="dxa" w:w="4176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每个联盟必须使用同一口径</w:t>
            </w:r>
          </w:p>
        </w:tc>
      </w:tr>
      <w:tr>
        <w:trPr>
          <w:cantSplit/>
        </w:trPr>
        <w:tc>
          <w:tcPr>
            <w:tcW w:type="dxa" w:w="245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Shapley贡献</w:t>
            </w:r>
          </w:p>
        </w:tc>
        <w:tc>
          <w:tcPr>
            <w:tcW w:type="dxa" w:w="275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确定性金融引擎</w:t>
            </w:r>
          </w:p>
        </w:tc>
        <w:tc>
          <w:tcPr>
            <w:tcW w:type="dxa" w:w="417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需要满足可加性等数学核验</w:t>
            </w:r>
          </w:p>
        </w:tc>
      </w:tr>
      <w:tr>
        <w:trPr>
          <w:cantSplit/>
        </w:trPr>
        <w:tc>
          <w:tcPr>
            <w:tcW w:type="dxa" w:w="2456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结果解释</w:t>
            </w:r>
          </w:p>
        </w:tc>
        <w:tc>
          <w:tcPr>
            <w:tcW w:type="dxa" w:w="2751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Agent读取证据白名单</w:t>
            </w:r>
          </w:p>
        </w:tc>
        <w:tc>
          <w:tcPr>
            <w:tcW w:type="dxa" w:w="4176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可提高可读性，但不得新增未经计算的数字</w:t>
            </w:r>
          </w:p>
        </w:tc>
      </w:tr>
      <w:tr>
        <w:trPr>
          <w:cantSplit/>
        </w:trPr>
        <w:tc>
          <w:tcPr>
            <w:tcW w:type="dxa" w:w="245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最终分配确认</w:t>
            </w:r>
          </w:p>
        </w:tc>
        <w:tc>
          <w:tcPr>
            <w:tcW w:type="dxa" w:w="275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评审委员会</w:t>
            </w:r>
          </w:p>
        </w:tc>
        <w:tc>
          <w:tcPr>
            <w:tcW w:type="dxa" w:w="417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属于机构治理责任，不应外包给模型</w:t>
            </w:r>
          </w:p>
        </w:tc>
      </w:tr>
    </w:tbl>
    <w:p>
      <w:pPr>
        <w:spacing w:after="0"/>
      </w:pPr>
    </w:p>
    <w:p>
      <w:pPr>
        <w:pStyle w:val="Heading2"/>
        <w:keepNext w:val="1"/>
      </w:pPr>
      <w:r>
        <w:t>异常与降级逻辑</w:t>
      </w:r>
    </w:p>
    <w:p>
      <w:pPr>
        <w:pStyle w:val="ListBullet"/>
        <w:keepLines w:val="1"/>
      </w:pPr>
      <w:r>
        <w:t>在线模型不可用  自动转入离线缓存或规则建议，仍可继续演示。</w:t>
      </w:r>
    </w:p>
    <w:p>
      <w:pPr>
        <w:pStyle w:val="ListBullet"/>
        <w:keepLines w:val="1"/>
      </w:pPr>
      <w:r>
        <w:t>Agent输出越过白名单或参数范围  拒绝该字段并使用合法默认值或要求用户确认。</w:t>
      </w:r>
    </w:p>
    <w:p>
      <w:pPr>
        <w:pStyle w:val="ListBullet"/>
        <w:keepLines w:val="1"/>
      </w:pPr>
      <w:r>
        <w:t>回测数据或指标不满足校验  隔离不可信字段并提示，不让Agent把异常数值写入结论。</w:t>
      </w:r>
    </w:p>
    <w:p>
      <w:pPr>
        <w:pStyle w:val="ListBullet"/>
        <w:keepLines w:val="1"/>
      </w:pPr>
      <w:r>
        <w:t>用户未确认配置  不启动真实回测。</w:t>
      </w:r>
    </w:p>
    <w:p>
      <w:pPr>
        <w:pStyle w:val="ListBullet"/>
        <w:keepLines w:val="1"/>
      </w:pPr>
      <w:r>
        <w:t>最终方案未由评审委员会确认  不标记为可应用方案，也不执行资源划拨。</w:t>
      </w:r>
    </w:p>
    <w:p>
      <w:pPr>
        <w:pStyle w:val="Heading2"/>
        <w:keepNext w:val="1"/>
      </w:pPr>
      <w:r>
        <w:t>页面视觉与动画顺序</w:t>
      </w:r>
    </w:p>
    <w:p>
      <w:pPr>
        <w:pStyle w:val="ListBullet"/>
        <w:keepLines w:val="1"/>
      </w:pPr>
      <w:r>
        <w:t>先出现左侧产品定位、设计原则和可信边界，回答系统为何这样设计。</w:t>
      </w:r>
    </w:p>
    <w:p>
      <w:pPr>
        <w:pStyle w:val="ListBullet"/>
        <w:keepLines w:val="1"/>
      </w:pPr>
      <w:r>
        <w:t>中部从数据层L1向上讲到交互与治理层L4，讲到L2时停顿并强调确定性计算核心。</w:t>
      </w:r>
    </w:p>
    <w:p>
      <w:pPr>
        <w:pStyle w:val="ListBullet"/>
        <w:keepLines w:val="1"/>
      </w:pPr>
      <w:r>
        <w:t>随后出现右侧纵向可信治理能力，说明输入留痕、版本、参数、结果和人工决定均可追踪。</w:t>
      </w:r>
    </w:p>
    <w:p>
      <w:pPr>
        <w:pStyle w:val="ListBullet"/>
        <w:keepLines w:val="1"/>
      </w:pPr>
      <w:r>
        <w:t>最后出现底部业务闭环，把表达偏好、配置确认、回测、贡献证据、双轨建议和评审终裁串起来。</w:t>
      </w:r>
    </w:p>
    <w:p>
      <w:pPr>
        <w:pStyle w:val="Heading2"/>
        <w:keepNext w:val="1"/>
      </w:pPr>
      <w:r>
        <w:t>现场讲解词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16"/>
      </w:tblGrid>
      <w:tr>
        <w:trPr>
          <w:cantSplit/>
        </w:trPr>
        <w:tc>
          <w:tcPr>
            <w:tcW w:type="dxa" w:w="9916"/>
            <w:shd w:fill="17232D"/>
            <w:tcMar>
              <w:top w:w="90" w:type="dxa"/>
              <w:start w:w="170" w:type="dxa"/>
              <w:bottom w:w="90" w:type="dxa"/>
              <w:end w:w="170" w:type="dxa"/>
            </w:tcMar>
          </w:tcPr>
          <w:p>
            <w:r>
              <w:rPr>
                <w:b/>
                <w:color w:val="FFFFFF"/>
              </w:rPr>
              <w:t>现场讲解词  建议35秒</w:t>
            </w:r>
          </w:p>
        </w:tc>
      </w:tr>
      <w:tr>
        <w:trPr>
          <w:cantSplit/>
        </w:trPr>
        <w:tc>
          <w:tcPr>
            <w:tcW w:type="dxa" w:w="9916"/>
            <w:shd w:fill="F4F6F7"/>
            <w:tcMar>
              <w:top w:w="170" w:type="dxa"/>
              <w:start w:w="190" w:type="dxa"/>
              <w:bottom w:w="170" w:type="dxa"/>
              <w:end w:w="190" w:type="dxa"/>
            </w:tcMar>
          </w:tcPr>
          <w:p>
            <w:r>
              <w:rPr>
                <w:i/>
                <w:sz w:val="20"/>
              </w:rPr>
              <w:t>系统中部是四层能力。底层固定HS300数据、行业映射、因子版本和运行日志；确定性金融计算层完成40项因子输入、组合构建、交易成本、32个联盟反事实回测和精确Shapley；Agent层只把自然语言转成白名单内的结构化建议，并经过参数校验和人工确认；最上层负责证据展示和评审终裁。右侧的可信治理能力贯穿四层，底部形成从偏好输入到评审终裁的业务闭环。收益、风险和角色贡献均由确定性引擎计算，LLM不能生成或改写金融事实。</w:t>
            </w:r>
          </w:p>
        </w:tc>
      </w:tr>
    </w:tbl>
    <w:p>
      <w:pPr>
        <w:spacing w:after="0"/>
      </w:pPr>
    </w:p>
    <w:p>
      <w:pPr>
        <w:pStyle w:val="Heading2"/>
        <w:keepNext w:val="1"/>
      </w:pPr>
      <w:r>
        <w:t>页间衔接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98"/>
        <w:gridCol w:w="7585"/>
      </w:tblGrid>
      <w:tr>
        <w:trPr>
          <w:tblHeader w:val="true"/>
        </w:trPr>
        <w:tc>
          <w:tcPr>
            <w:tcW w:type="dxa" w:w="1798"/>
            <w:shd w:fill="17232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7585"/>
            <w:shd w:fill="17232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衔接话术</w:t>
            </w:r>
          </w:p>
        </w:tc>
      </w:tr>
      <w:tr>
        <w:trPr>
          <w:cantSplit/>
        </w:trPr>
        <w:tc>
          <w:tcPr>
            <w:tcW w:type="dxa" w:w="179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承接第7页</w:t>
            </w:r>
          </w:p>
        </w:tc>
        <w:tc>
          <w:tcPr>
            <w:tcW w:type="dxa" w:w="7585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刚才的五步证据链之所以能够复算，是因为系统从数据、计算、Agent到治理划分了清晰责任。</w:t>
            </w:r>
          </w:p>
        </w:tc>
      </w:tr>
      <w:tr>
        <w:trPr>
          <w:cantSplit/>
        </w:trPr>
        <w:tc>
          <w:tcPr>
            <w:tcW w:type="dxa" w:w="1798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离开本页</w:t>
            </w:r>
          </w:p>
        </w:tc>
        <w:tc>
          <w:tcPr>
            <w:tcW w:type="dxa" w:w="7585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在这个可信边界下，我们才能进一步讨论贡献结果本身和它对治理的实际价值。</w:t>
            </w:r>
          </w:p>
        </w:tc>
      </w:tr>
      <w:tr>
        <w:trPr>
          <w:cantSplit/>
        </w:trPr>
        <w:tc>
          <w:tcPr>
            <w:tcW w:type="dxa" w:w="179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进入第13页</w:t>
            </w:r>
          </w:p>
        </w:tc>
        <w:tc>
          <w:tcPr>
            <w:tcW w:type="dxa" w:w="7585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当角色贡献已经可复算，下一步不是让算法直接分配，而是把证据以渐进方式接入机构现行制度。</w:t>
            </w:r>
          </w:p>
        </w:tc>
      </w:tr>
    </w:tbl>
    <w:p>
      <w:pPr>
        <w:spacing w:after="0"/>
      </w:pPr>
    </w:p>
    <w:p>
      <w:pPr>
        <w:pStyle w:val="Heading2"/>
        <w:keepNext w:val="1"/>
      </w:pPr>
      <w:r>
        <w:t>可能问答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09"/>
        <w:gridCol w:w="6573"/>
      </w:tblGrid>
      <w:tr>
        <w:trPr>
          <w:tblHeader w:val="true"/>
        </w:trPr>
        <w:tc>
          <w:tcPr>
            <w:tcW w:type="dxa" w:w="2809"/>
            <w:shd w:fill="17232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评委可能提问</w:t>
            </w:r>
          </w:p>
        </w:tc>
        <w:tc>
          <w:tcPr>
            <w:tcW w:type="dxa" w:w="6573"/>
            <w:shd w:fill="17232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建议回答</w:t>
            </w:r>
          </w:p>
        </w:tc>
      </w:tr>
      <w:tr>
        <w:trPr>
          <w:cantSplit/>
        </w:trPr>
        <w:tc>
          <w:tcPr>
            <w:tcW w:type="dxa" w:w="2809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没有API Key还能演示吗</w:t>
            </w:r>
          </w:p>
        </w:tc>
        <w:tc>
          <w:tcPr>
            <w:tcW w:type="dxa" w:w="6573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可以。项目自带经校验的离线Agent缓存，命中预设场景时可完整展示建议、确认和回测；未命中时由规则Agent降级。金融计算始终在本地确定性引擎完成。</w:t>
            </w:r>
          </w:p>
        </w:tc>
      </w:tr>
      <w:tr>
        <w:trPr>
          <w:cantSplit/>
        </w:trPr>
        <w:tc>
          <w:tcPr>
            <w:tcW w:type="dxa" w:w="2809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LLM是否会产生幻觉</w:t>
            </w:r>
          </w:p>
        </w:tc>
        <w:tc>
          <w:tcPr>
            <w:tcW w:type="dxa" w:w="6573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自然语言建议可能有不确定性，所以系统设置因子白名单、参数校验、证据编号和人工确认。模型不能写入金融结果字段。</w:t>
            </w:r>
          </w:p>
        </w:tc>
      </w:tr>
      <w:tr>
        <w:trPr>
          <w:cantSplit/>
        </w:trPr>
        <w:tc>
          <w:tcPr>
            <w:tcW w:type="dxa" w:w="2809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为什么不全部用规则</w:t>
            </w:r>
          </w:p>
        </w:tc>
        <w:tc>
          <w:tcPr>
            <w:tcW w:type="dxa" w:w="6573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规则适合计算和约束，Agent适合理解多样化偏好和组织可读解释。两者分层能同时获得灵活交互与可复算结果。</w:t>
            </w:r>
          </w:p>
        </w:tc>
      </w:tr>
      <w:tr>
        <w:trPr>
          <w:cantSplit/>
        </w:trPr>
        <w:tc>
          <w:tcPr>
            <w:tcW w:type="dxa" w:w="2809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更换模型会不会改变结果</w:t>
            </w:r>
          </w:p>
        </w:tc>
        <w:tc>
          <w:tcPr>
            <w:tcW w:type="dxa" w:w="6573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可能改变配置建议的表达，但经过人工确认后，同一生效配置进入同一引擎会得到同一金融结果。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 w:val="1"/>
      </w:pPr>
      <w:r>
        <w:t>第13页 6比4双轨治理</w:t>
      </w:r>
    </w:p>
    <w:p>
      <w:pPr>
        <w:keepLines w:val="1"/>
      </w:pPr>
      <w:r>
        <w:t>页面标题  6比4双轨让贡献证据进入治理，但不替代治理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767"/>
      </w:tblGrid>
      <w:tr>
        <w:trPr>
          <w:cantSplit/>
        </w:trPr>
        <w:tc>
          <w:tcPr>
            <w:tcW w:type="dxa" w:w="4958"/>
            <w:shd w:fill="E5A72B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页面任务</w:t>
            </w:r>
          </w:p>
        </w:tc>
        <w:tc>
          <w:tcPr>
            <w:tcW w:type="dxa" w:w="4958"/>
            <w:shd w:fill="FFF6E5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sz w:val="20"/>
              </w:rPr>
              <w:t>说明Shapley证据怎样转化为可落地的分配建议，同时保持制度连续性、角色表达权和评审委员会终裁权。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61888" cy="33592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1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61888" cy="3359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color w:val="5C6B73"/>
          <w:sz w:val="17"/>
        </w:rPr>
        <w:t>第13页内容原型  制度轨与证据轨合成后进入评审委员会决策门</w:t>
      </w:r>
    </w:p>
    <w:p>
      <w:pPr>
        <w:pStyle w:val="Heading2"/>
        <w:keepNext w:val="1"/>
      </w:pPr>
      <w:r>
        <w:t>核心概念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7"/>
        <w:gridCol w:w="3572"/>
        <w:gridCol w:w="4144"/>
      </w:tblGrid>
      <w:tr>
        <w:trPr>
          <w:tblHeader w:val="true"/>
        </w:trPr>
        <w:tc>
          <w:tcPr>
            <w:tcW w:type="dxa" w:w="1667"/>
            <w:shd w:fill="17232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概念</w:t>
            </w:r>
          </w:p>
        </w:tc>
        <w:tc>
          <w:tcPr>
            <w:tcW w:type="dxa" w:w="3572"/>
            <w:shd w:fill="17232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4144"/>
            <w:shd w:fill="17232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边界</w:t>
            </w:r>
          </w:p>
        </w:tc>
      </w:tr>
      <w:tr>
        <w:trPr>
          <w:cantSplit/>
        </w:trPr>
        <w:tc>
          <w:tcPr>
            <w:tcW w:type="dxa" w:w="1667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制度轨60%</w:t>
            </w:r>
          </w:p>
        </w:tc>
        <w:tc>
          <w:tcPr>
            <w:tcW w:type="dxa" w:w="357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沿用机构提交并确认的现行分配份额</w:t>
            </w:r>
          </w:p>
        </w:tc>
        <w:tc>
          <w:tcPr>
            <w:tcW w:type="dxa" w:w="414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不是系统推断的历史制度</w:t>
            </w:r>
          </w:p>
        </w:tc>
      </w:tr>
      <w:tr>
        <w:trPr>
          <w:cantSplit/>
        </w:trPr>
        <w:tc>
          <w:tcPr>
            <w:tcW w:type="dxa" w:w="1667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证据轨40%</w:t>
            </w:r>
          </w:p>
        </w:tc>
        <w:tc>
          <w:tcPr>
            <w:tcW w:type="dxa" w:w="3572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按正向Shapley贡献形成的动态建议权重</w:t>
            </w:r>
          </w:p>
        </w:tc>
        <w:tc>
          <w:tcPr>
            <w:tcW w:type="dxa" w:w="4144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只占建议总份额的40%，不等于原始Shapley占比</w:t>
            </w:r>
          </w:p>
        </w:tc>
      </w:tr>
      <w:tr>
        <w:trPr>
          <w:cantSplit/>
        </w:trPr>
        <w:tc>
          <w:tcPr>
            <w:tcW w:type="dxa" w:w="1667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带符号Shapley</w:t>
            </w:r>
          </w:p>
        </w:tc>
        <w:tc>
          <w:tcPr>
            <w:tcW w:type="dxa" w:w="357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保留每个角色对超额收益的正向或负向边际影响</w:t>
            </w:r>
          </w:p>
        </w:tc>
        <w:tc>
          <w:tcPr>
            <w:tcW w:type="dxa" w:w="414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负值保留用于解释和复盘</w:t>
            </w:r>
          </w:p>
        </w:tc>
      </w:tr>
      <w:tr>
        <w:trPr>
          <w:cantSplit/>
        </w:trPr>
        <w:tc>
          <w:tcPr>
            <w:tcW w:type="dxa" w:w="1667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合成建议</w:t>
            </w:r>
          </w:p>
        </w:tc>
        <w:tc>
          <w:tcPr>
            <w:tcW w:type="dxa" w:w="3572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制度轨和证据轨按固定比例加权的系统建议</w:t>
            </w:r>
          </w:p>
        </w:tc>
        <w:tc>
          <w:tcPr>
            <w:tcW w:type="dxa" w:w="4144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不是最终决定，也不自动执行</w:t>
            </w:r>
          </w:p>
        </w:tc>
      </w:tr>
      <w:tr>
        <w:trPr>
          <w:cantSplit/>
        </w:trPr>
        <w:tc>
          <w:tcPr>
            <w:tcW w:type="dxa" w:w="1667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角色陈述</w:t>
            </w:r>
          </w:p>
        </w:tc>
        <w:tc>
          <w:tcPr>
            <w:tcW w:type="dxa" w:w="357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五角色基于证据说明贡献来源、约束和改进计划</w:t>
            </w:r>
          </w:p>
        </w:tc>
        <w:tc>
          <w:tcPr>
            <w:tcW w:type="dxa" w:w="414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不进入份额计算</w:t>
            </w:r>
          </w:p>
        </w:tc>
      </w:tr>
      <w:tr>
        <w:trPr>
          <w:cantSplit/>
        </w:trPr>
        <w:tc>
          <w:tcPr>
            <w:tcW w:type="dxa" w:w="1667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评审委员会终裁</w:t>
            </w:r>
          </w:p>
        </w:tc>
        <w:tc>
          <w:tcPr>
            <w:tcW w:type="dxa" w:w="3572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独立判断、调整并确认后形成可应用方案</w:t>
            </w:r>
          </w:p>
        </w:tc>
        <w:tc>
          <w:tcPr>
            <w:tcW w:type="dxa" w:w="4144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必须保留人工责任与调整理由</w:t>
            </w:r>
          </w:p>
        </w:tc>
      </w:tr>
    </w:tbl>
    <w:p>
      <w:pPr>
        <w:spacing w:after="0"/>
      </w:pPr>
    </w:p>
    <w:p>
      <w:pPr>
        <w:pStyle w:val="Heading2"/>
        <w:keepNext w:val="1"/>
      </w:pPr>
      <w:r>
        <w:t>合成公式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16"/>
      </w:tblGrid>
      <w:tr>
        <w:trPr>
          <w:cantSplit/>
        </w:trPr>
        <w:tc>
          <w:tcPr>
            <w:tcW w:type="dxa" w:w="9916"/>
            <w:shd w:fill="EDF5FB"/>
            <w:tcMar>
              <w:top w:w="170" w:type="dxa"/>
              <w:start w:w="180" w:type="dxa"/>
              <w:bottom w:w="170" w:type="dxa"/>
              <w:end w:w="180" w:type="dxa"/>
            </w:tcMar>
            <w:tcBorders>
              <w:top w:val="single" w:sz="9" w:color="3E8ED0"/>
              <w:left w:val="single" w:sz="9" w:color="3E8ED0"/>
              <w:bottom w:val="single" w:sz="9" w:color="3E8ED0"/>
              <w:right w:val="single" w:sz="9" w:color="3E8ED0"/>
            </w:tcBorders>
          </w:tcPr>
          <w:p>
            <w:pPr>
              <w:jc w:val="center"/>
            </w:pPr>
            <w:r>
              <w:rPr>
                <w:rFonts w:ascii="Cambria Math" w:hAnsi="Cambria Math" w:eastAsia="Microsoft YaHei"/>
                <w:b/>
                <w:sz w:val="25"/>
              </w:rPr>
              <w:t>建议份额ᵢ = 60% × 现行份额ᵢ + 40% × 证据池份额ᵢ</w:t>
            </w:r>
          </w:p>
          <w:p>
            <w:pPr>
              <w:jc w:val="center"/>
            </w:pPr>
            <w:r>
              <w:rPr>
                <w:color w:val="5C6B73"/>
                <w:sz w:val="17"/>
              </w:rPr>
              <w:t>对全部角色求和后仍为100%；最终应用前必须经评审委员会确认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9"/>
        <w:gridCol w:w="3953"/>
        <w:gridCol w:w="4001"/>
      </w:tblGrid>
      <w:tr>
        <w:trPr>
          <w:tblHeader w:val="true"/>
        </w:trPr>
        <w:tc>
          <w:tcPr>
            <w:tcW w:type="dxa" w:w="1429"/>
            <w:shd w:fill="17232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符号</w:t>
            </w:r>
          </w:p>
        </w:tc>
        <w:tc>
          <w:tcPr>
            <w:tcW w:type="dxa" w:w="3953"/>
            <w:shd w:fill="17232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4001"/>
            <w:shd w:fill="17232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数据来源</w:t>
            </w:r>
          </w:p>
        </w:tc>
      </w:tr>
      <w:tr>
        <w:trPr>
          <w:cantSplit/>
        </w:trPr>
        <w:tc>
          <w:tcPr>
            <w:tcW w:type="dxa" w:w="1429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i</w:t>
            </w:r>
          </w:p>
        </w:tc>
        <w:tc>
          <w:tcPr>
            <w:tcW w:type="dxa" w:w="3953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某一投研角色</w:t>
            </w:r>
          </w:p>
        </w:tc>
        <w:tc>
          <w:tcPr>
            <w:tcW w:type="dxa" w:w="400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行业、个股、策略、量化或风控</w:t>
            </w:r>
          </w:p>
        </w:tc>
      </w:tr>
      <w:tr>
        <w:trPr>
          <w:cantSplit/>
        </w:trPr>
        <w:tc>
          <w:tcPr>
            <w:tcW w:type="dxa" w:w="1429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现行份额ᵢ</w:t>
            </w:r>
          </w:p>
        </w:tc>
        <w:tc>
          <w:tcPr>
            <w:tcW w:type="dxa" w:w="3953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机构当前制度下分配给角色i的比例</w:t>
            </w:r>
          </w:p>
        </w:tc>
        <w:tc>
          <w:tcPr>
            <w:tcW w:type="dxa" w:w="4001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用户录入或机构档案</w:t>
            </w:r>
          </w:p>
        </w:tc>
      </w:tr>
      <w:tr>
        <w:trPr>
          <w:cantSplit/>
        </w:trPr>
        <w:tc>
          <w:tcPr>
            <w:tcW w:type="dxa" w:w="1429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证据池份额ᵢ</w:t>
            </w:r>
          </w:p>
        </w:tc>
        <w:tc>
          <w:tcPr>
            <w:tcW w:type="dxa" w:w="3953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角色i在证据轨40%内部的建议权重</w:t>
            </w:r>
          </w:p>
        </w:tc>
        <w:tc>
          <w:tcPr>
            <w:tcW w:type="dxa" w:w="400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正向Shapley经归一化和上限规则处理</w:t>
            </w:r>
          </w:p>
        </w:tc>
      </w:tr>
      <w:tr>
        <w:trPr>
          <w:cantSplit/>
        </w:trPr>
        <w:tc>
          <w:tcPr>
            <w:tcW w:type="dxa" w:w="1429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建议份额ᵢ</w:t>
            </w:r>
          </w:p>
        </w:tc>
        <w:tc>
          <w:tcPr>
            <w:tcW w:type="dxa" w:w="3953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系统展示给评审委员会的合成比例</w:t>
            </w:r>
          </w:p>
        </w:tc>
        <w:tc>
          <w:tcPr>
            <w:tcW w:type="dxa" w:w="4001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按6比4公式计算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767"/>
      </w:tblGrid>
      <w:tr>
        <w:trPr>
          <w:cantSplit/>
        </w:trPr>
        <w:tc>
          <w:tcPr>
            <w:tcW w:type="dxa" w:w="4958"/>
            <w:shd w:fill="E86F61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比例口径</w:t>
            </w:r>
          </w:p>
        </w:tc>
        <w:tc>
          <w:tcPr>
            <w:tcW w:type="dxa" w:w="4958"/>
            <w:shd w:fill="FDEDEA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sz w:val="20"/>
              </w:rPr>
              <w:t>6比4是本项目为渐进接入设计的产品参数，不是大赛规定，也不是数学上唯一最优比例。机构落地时可经治理程序调整，但本次演示统一使用6比4。</w:t>
            </w:r>
          </w:p>
        </w:tc>
      </w:tr>
    </w:tbl>
    <w:p>
      <w:pPr>
        <w:spacing w:after="0"/>
      </w:pPr>
    </w:p>
    <w:p>
      <w:pPr>
        <w:pStyle w:val="Heading2"/>
        <w:keepNext w:val="1"/>
      </w:pPr>
      <w:r>
        <w:t>从Shapley到证据池权重</w:t>
      </w:r>
    </w:p>
    <w:p>
      <w:pPr>
        <w:keepLines w:val="1"/>
      </w:pPr>
      <w:r>
        <w:t>原始Shapley用于解释贡献，证据池权重用于提出奖励或资源配置建议，两者必须分开。当前实现遵循以下顺序。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4"/>
        <w:gridCol w:w="3763"/>
        <w:gridCol w:w="4287"/>
      </w:tblGrid>
      <w:tr>
        <w:trPr>
          <w:tblHeader w:val="true"/>
        </w:trPr>
        <w:tc>
          <w:tcPr>
            <w:tcW w:type="dxa" w:w="1334"/>
            <w:shd w:fill="17232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3763"/>
            <w:shd w:fill="17232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规则</w:t>
            </w:r>
          </w:p>
        </w:tc>
        <w:tc>
          <w:tcPr>
            <w:tcW w:type="dxa" w:w="4287"/>
            <w:shd w:fill="17232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原因</w:t>
            </w:r>
          </w:p>
        </w:tc>
      </w:tr>
      <w:tr>
        <w:trPr>
          <w:cantSplit/>
        </w:trPr>
        <w:tc>
          <w:tcPr>
            <w:tcW w:type="dxa" w:w="133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一 保留原始贡献</w:t>
            </w:r>
          </w:p>
        </w:tc>
        <w:tc>
          <w:tcPr>
            <w:tcW w:type="dxa" w:w="3763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记录每个角色的带符号Shapley值φᵢ</w:t>
            </w:r>
          </w:p>
        </w:tc>
        <w:tc>
          <w:tcPr>
            <w:tcW w:type="dxa" w:w="4287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完整呈现正向贡献和负向拖累</w:t>
            </w:r>
          </w:p>
        </w:tc>
      </w:tr>
      <w:tr>
        <w:trPr>
          <w:cantSplit/>
        </w:trPr>
        <w:tc>
          <w:tcPr>
            <w:tcW w:type="dxa" w:w="1334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二 提取正向贡献</w:t>
            </w:r>
          </w:p>
        </w:tc>
        <w:tc>
          <w:tcPr>
            <w:tcW w:type="dxa" w:w="3763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正向分数ᵢ = max(φᵢ, 0)</w:t>
            </w:r>
          </w:p>
        </w:tc>
        <w:tc>
          <w:tcPr>
            <w:tcW w:type="dxa" w:w="4287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负贡献保留在证据层，但不因绝对值较大而获得证据轨奖励</w:t>
            </w:r>
          </w:p>
        </w:tc>
      </w:tr>
      <w:tr>
        <w:trPr>
          <w:cantSplit/>
        </w:trPr>
        <w:tc>
          <w:tcPr>
            <w:tcW w:type="dxa" w:w="133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三 可选制度调节</w:t>
            </w:r>
          </w:p>
        </w:tc>
        <w:tc>
          <w:tcPr>
            <w:tcW w:type="dxa" w:w="3763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正向分数乘以非负角色调节系数，默认系数为1</w:t>
            </w:r>
          </w:p>
        </w:tc>
        <w:tc>
          <w:tcPr>
            <w:tcW w:type="dxa" w:w="4287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允许机构在证据轨内表达合规的制度偏好，不改变原始Shapley</w:t>
            </w:r>
          </w:p>
        </w:tc>
      </w:tr>
      <w:tr>
        <w:trPr>
          <w:cantSplit/>
        </w:trPr>
        <w:tc>
          <w:tcPr>
            <w:tcW w:type="dxa" w:w="1334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四 水位法归一化</w:t>
            </w:r>
          </w:p>
        </w:tc>
        <w:tc>
          <w:tcPr>
            <w:tcW w:type="dxa" w:w="3763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按分数比例归一化，并执行单角色默认50%上限</w:t>
            </w:r>
          </w:p>
        </w:tc>
        <w:tc>
          <w:tcPr>
            <w:tcW w:type="dxa" w:w="4287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降低证据轨过度集中</w:t>
            </w:r>
          </w:p>
        </w:tc>
      </w:tr>
      <w:tr>
        <w:trPr>
          <w:cantSplit/>
        </w:trPr>
        <w:tc>
          <w:tcPr>
            <w:tcW w:type="dxa" w:w="133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五 边界降级</w:t>
            </w:r>
          </w:p>
        </w:tc>
        <w:tc>
          <w:tcPr>
            <w:tcW w:type="dxa" w:w="3763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若没有任何正贡献，证据轨对五角色等权；正贡献角色过少时最小幅度放宽上限</w:t>
            </w:r>
          </w:p>
        </w:tc>
        <w:tc>
          <w:tcPr>
            <w:tcW w:type="dxa" w:w="4287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保证证据轨可归一化，同时优先不奖励负贡献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767"/>
      </w:tblGrid>
      <w:tr>
        <w:trPr>
          <w:cantSplit/>
        </w:trPr>
        <w:tc>
          <w:tcPr>
            <w:tcW w:type="dxa" w:w="4958"/>
            <w:shd w:fill="3E8ED0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负贡献处理</w:t>
            </w:r>
          </w:p>
        </w:tc>
        <w:tc>
          <w:tcPr>
            <w:tcW w:type="dxa" w:w="4958"/>
            <w:shd w:fill="EDF5FB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sz w:val="20"/>
              </w:rPr>
              <w:t>负贡献不进入证据轨奖励，但角色仍保留制度轨中的现行份额。负贡献也不能被删除，它是复盘市场阶段、约束成本和角色配置的重要证据。</w:t>
            </w:r>
          </w:p>
        </w:tc>
      </w:tr>
    </w:tbl>
    <w:p>
      <w:pPr>
        <w:spacing w:after="0"/>
      </w:pPr>
    </w:p>
    <w:p>
      <w:pPr>
        <w:pStyle w:val="Heading2"/>
        <w:keepNext w:val="1"/>
      </w:pPr>
      <w:r>
        <w:t>端到端治理步骤</w:t>
      </w:r>
    </w:p>
    <w:p>
      <w:pPr>
        <w:pStyle w:val="ListBullet"/>
        <w:keepLines w:val="1"/>
      </w:pPr>
      <w:r>
        <w:t>一  读取评审委员会确认的现行份额，检查合计为100%。</w:t>
      </w:r>
    </w:p>
    <w:p>
      <w:pPr>
        <w:pStyle w:val="ListBullet"/>
        <w:keepLines w:val="1"/>
      </w:pPr>
      <w:r>
        <w:t>二  读取确定性引擎产生的带符号Shapley贡献和证据轨内部权重。</w:t>
      </w:r>
    </w:p>
    <w:p>
      <w:pPr>
        <w:pStyle w:val="ListBullet"/>
        <w:keepLines w:val="1"/>
      </w:pPr>
      <w:r>
        <w:t>三  按6比4公式计算每个角色的合成建议份额和对应资源量。</w:t>
      </w:r>
    </w:p>
    <w:p>
      <w:pPr>
        <w:pStyle w:val="ListBullet"/>
        <w:keepLines w:val="1"/>
      </w:pPr>
      <w:r>
        <w:t>四  同屏展示制度轨、证据轨、合成建议、原始贡献和审计信息。</w:t>
      </w:r>
    </w:p>
    <w:p>
      <w:pPr>
        <w:pStyle w:val="ListBullet"/>
        <w:keepLines w:val="1"/>
      </w:pPr>
      <w:r>
        <w:t>五  五类角色分别说明贡献来源、约束条件和改进计划，陈述仅供参考。</w:t>
      </w:r>
    </w:p>
    <w:p>
      <w:pPr>
        <w:pStyle w:val="ListBullet"/>
        <w:keepLines w:val="1"/>
      </w:pPr>
      <w:r>
        <w:t>六  评审委员会独立判断，可结合组织战略、合规、职责难度和不可量化投入进行调整。</w:t>
      </w:r>
    </w:p>
    <w:p>
      <w:pPr>
        <w:pStyle w:val="ListBullet"/>
        <w:keepLines w:val="1"/>
      </w:pPr>
      <w:r>
        <w:t>七  记录调整前建议、调整后结果、调整理由、确认人和时间。</w:t>
      </w:r>
    </w:p>
    <w:p>
      <w:pPr>
        <w:pStyle w:val="ListBullet"/>
        <w:keepLines w:val="1"/>
      </w:pPr>
      <w:r>
        <w:t>八  仅在人工确认后，方案才可作为预算、资源或激励的应用依据；系统本身不执行划拨。</w:t>
      </w:r>
    </w:p>
    <w:p>
      <w:pPr>
        <w:pStyle w:val="Heading2"/>
        <w:keepNext w:val="1"/>
      </w:pPr>
      <w:r>
        <w:t>演示计算示例</w:t>
      </w:r>
    </w:p>
    <w:p>
      <w:pPr>
        <w:keepLines w:val="1"/>
      </w:pPr>
      <w:r>
        <w:t>以下仅用于解释公式，不代表项目正式回测结果。假设五角色现行份额均为20%，证据池内部权重为50%、30%、20%、0%、0%。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86"/>
        <w:gridCol w:w="1493"/>
        <w:gridCol w:w="1706"/>
        <w:gridCol w:w="1599"/>
        <w:gridCol w:w="1599"/>
        <w:gridCol w:w="1599"/>
      </w:tblGrid>
      <w:tr>
        <w:trPr>
          <w:tblHeader w:val="true"/>
        </w:trPr>
        <w:tc>
          <w:tcPr>
            <w:tcW w:type="dxa" w:w="1386"/>
            <w:shd w:fill="17232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1493"/>
            <w:shd w:fill="17232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现行份额</w:t>
            </w:r>
          </w:p>
        </w:tc>
        <w:tc>
          <w:tcPr>
            <w:tcW w:type="dxa" w:w="1706"/>
            <w:shd w:fill="17232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证据池权重</w:t>
            </w:r>
          </w:p>
        </w:tc>
        <w:tc>
          <w:tcPr>
            <w:tcW w:type="dxa" w:w="1599"/>
            <w:shd w:fill="17232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制度轨贡献</w:t>
            </w:r>
          </w:p>
        </w:tc>
        <w:tc>
          <w:tcPr>
            <w:tcW w:type="dxa" w:w="1599"/>
            <w:shd w:fill="17232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证据轨贡献</w:t>
            </w:r>
          </w:p>
        </w:tc>
        <w:tc>
          <w:tcPr>
            <w:tcW w:type="dxa" w:w="1599"/>
            <w:shd w:fill="17232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合成建议</w:t>
            </w:r>
          </w:p>
        </w:tc>
      </w:tr>
      <w:tr>
        <w:trPr>
          <w:cantSplit/>
        </w:trPr>
        <w:tc>
          <w:tcPr>
            <w:tcW w:type="dxa" w:w="138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行业</w:t>
            </w:r>
          </w:p>
        </w:tc>
        <w:tc>
          <w:tcPr>
            <w:tcW w:type="dxa" w:w="1493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20%</w:t>
            </w:r>
          </w:p>
        </w:tc>
        <w:tc>
          <w:tcPr>
            <w:tcW w:type="dxa" w:w="170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50%</w:t>
            </w:r>
          </w:p>
        </w:tc>
        <w:tc>
          <w:tcPr>
            <w:tcW w:type="dxa" w:w="1599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12%</w:t>
            </w:r>
          </w:p>
        </w:tc>
        <w:tc>
          <w:tcPr>
            <w:tcW w:type="dxa" w:w="1599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20%</w:t>
            </w:r>
          </w:p>
        </w:tc>
        <w:tc>
          <w:tcPr>
            <w:tcW w:type="dxa" w:w="1599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32%</w:t>
            </w:r>
          </w:p>
        </w:tc>
      </w:tr>
      <w:tr>
        <w:trPr>
          <w:cantSplit/>
        </w:trPr>
        <w:tc>
          <w:tcPr>
            <w:tcW w:type="dxa" w:w="1386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个股</w:t>
            </w:r>
          </w:p>
        </w:tc>
        <w:tc>
          <w:tcPr>
            <w:tcW w:type="dxa" w:w="1493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20%</w:t>
            </w:r>
          </w:p>
        </w:tc>
        <w:tc>
          <w:tcPr>
            <w:tcW w:type="dxa" w:w="1706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30%</w:t>
            </w:r>
          </w:p>
        </w:tc>
        <w:tc>
          <w:tcPr>
            <w:tcW w:type="dxa" w:w="1599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12%</w:t>
            </w:r>
          </w:p>
        </w:tc>
        <w:tc>
          <w:tcPr>
            <w:tcW w:type="dxa" w:w="1599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12%</w:t>
            </w:r>
          </w:p>
        </w:tc>
        <w:tc>
          <w:tcPr>
            <w:tcW w:type="dxa" w:w="1599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24%</w:t>
            </w:r>
          </w:p>
        </w:tc>
      </w:tr>
      <w:tr>
        <w:trPr>
          <w:cantSplit/>
        </w:trPr>
        <w:tc>
          <w:tcPr>
            <w:tcW w:type="dxa" w:w="138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策略</w:t>
            </w:r>
          </w:p>
        </w:tc>
        <w:tc>
          <w:tcPr>
            <w:tcW w:type="dxa" w:w="1493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20%</w:t>
            </w:r>
          </w:p>
        </w:tc>
        <w:tc>
          <w:tcPr>
            <w:tcW w:type="dxa" w:w="170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20%</w:t>
            </w:r>
          </w:p>
        </w:tc>
        <w:tc>
          <w:tcPr>
            <w:tcW w:type="dxa" w:w="1599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12%</w:t>
            </w:r>
          </w:p>
        </w:tc>
        <w:tc>
          <w:tcPr>
            <w:tcW w:type="dxa" w:w="1599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8%</w:t>
            </w:r>
          </w:p>
        </w:tc>
        <w:tc>
          <w:tcPr>
            <w:tcW w:type="dxa" w:w="1599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20%</w:t>
            </w:r>
          </w:p>
        </w:tc>
      </w:tr>
      <w:tr>
        <w:trPr>
          <w:cantSplit/>
        </w:trPr>
        <w:tc>
          <w:tcPr>
            <w:tcW w:type="dxa" w:w="1386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量化</w:t>
            </w:r>
          </w:p>
        </w:tc>
        <w:tc>
          <w:tcPr>
            <w:tcW w:type="dxa" w:w="1493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20%</w:t>
            </w:r>
          </w:p>
        </w:tc>
        <w:tc>
          <w:tcPr>
            <w:tcW w:type="dxa" w:w="1706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0%</w:t>
            </w:r>
          </w:p>
        </w:tc>
        <w:tc>
          <w:tcPr>
            <w:tcW w:type="dxa" w:w="1599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12%</w:t>
            </w:r>
          </w:p>
        </w:tc>
        <w:tc>
          <w:tcPr>
            <w:tcW w:type="dxa" w:w="1599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0%</w:t>
            </w:r>
          </w:p>
        </w:tc>
        <w:tc>
          <w:tcPr>
            <w:tcW w:type="dxa" w:w="1599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12%</w:t>
            </w:r>
          </w:p>
        </w:tc>
      </w:tr>
      <w:tr>
        <w:trPr>
          <w:cantSplit/>
        </w:trPr>
        <w:tc>
          <w:tcPr>
            <w:tcW w:type="dxa" w:w="138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风控</w:t>
            </w:r>
          </w:p>
        </w:tc>
        <w:tc>
          <w:tcPr>
            <w:tcW w:type="dxa" w:w="1493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20%</w:t>
            </w:r>
          </w:p>
        </w:tc>
        <w:tc>
          <w:tcPr>
            <w:tcW w:type="dxa" w:w="170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0%</w:t>
            </w:r>
          </w:p>
        </w:tc>
        <w:tc>
          <w:tcPr>
            <w:tcW w:type="dxa" w:w="1599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12%</w:t>
            </w:r>
          </w:p>
        </w:tc>
        <w:tc>
          <w:tcPr>
            <w:tcW w:type="dxa" w:w="1599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0%</w:t>
            </w:r>
          </w:p>
        </w:tc>
        <w:tc>
          <w:tcPr>
            <w:tcW w:type="dxa" w:w="1599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12%</w:t>
            </w:r>
          </w:p>
        </w:tc>
      </w:tr>
      <w:tr>
        <w:trPr>
          <w:cantSplit/>
        </w:trPr>
        <w:tc>
          <w:tcPr>
            <w:tcW w:type="dxa" w:w="1386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合计</w:t>
            </w:r>
          </w:p>
        </w:tc>
        <w:tc>
          <w:tcPr>
            <w:tcW w:type="dxa" w:w="1493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100%</w:t>
            </w:r>
          </w:p>
        </w:tc>
        <w:tc>
          <w:tcPr>
            <w:tcW w:type="dxa" w:w="1706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100%</w:t>
            </w:r>
          </w:p>
        </w:tc>
        <w:tc>
          <w:tcPr>
            <w:tcW w:type="dxa" w:w="1599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60%</w:t>
            </w:r>
          </w:p>
        </w:tc>
        <w:tc>
          <w:tcPr>
            <w:tcW w:type="dxa" w:w="1599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40%</w:t>
            </w:r>
          </w:p>
        </w:tc>
        <w:tc>
          <w:tcPr>
            <w:tcW w:type="dxa" w:w="1599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100%</w:t>
            </w:r>
          </w:p>
        </w:tc>
      </w:tr>
    </w:tbl>
    <w:p>
      <w:pPr>
        <w:spacing w:after="0"/>
      </w:pPr>
    </w:p>
    <w:p>
      <w:pPr>
        <w:keepLines w:val="1"/>
      </w:pPr>
      <w:r>
        <w:t>示例说明  即使量化和风控在证据轨中的建议权重为零，它们仍保留制度轨折算后的12%。这正体现了“双轨”的意义  证据进行动态校正，但不一次性推翻现有制度。</w:t>
      </w:r>
    </w:p>
    <w:p>
      <w:pPr>
        <w:pStyle w:val="Heading2"/>
        <w:keepNext w:val="1"/>
      </w:pPr>
      <w:r>
        <w:t>适用的广义价值分配场景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16"/>
        <w:gridCol w:w="3217"/>
        <w:gridCol w:w="4450"/>
      </w:tblGrid>
      <w:tr>
        <w:trPr>
          <w:tblHeader w:val="true"/>
        </w:trPr>
        <w:tc>
          <w:tcPr>
            <w:tcW w:type="dxa" w:w="1716"/>
            <w:shd w:fill="17232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3217"/>
            <w:shd w:fill="17232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可分配资源</w:t>
            </w:r>
          </w:p>
        </w:tc>
        <w:tc>
          <w:tcPr>
            <w:tcW w:type="dxa" w:w="4450"/>
            <w:shd w:fill="17232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使用方式</w:t>
            </w:r>
          </w:p>
        </w:tc>
      </w:tr>
      <w:tr>
        <w:trPr>
          <w:cantSplit/>
        </w:trPr>
        <w:tc>
          <w:tcPr>
            <w:tcW w:type="dxa" w:w="171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年度预算</w:t>
            </w:r>
          </w:p>
        </w:tc>
        <w:tc>
          <w:tcPr>
            <w:tcW w:type="dxa" w:w="3217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研究经费、外部专家费、调研预算</w:t>
            </w:r>
          </w:p>
        </w:tc>
        <w:tc>
          <w:tcPr>
            <w:tcW w:type="dxa" w:w="445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证据作为下一周期预算配置参考</w:t>
            </w:r>
          </w:p>
        </w:tc>
      </w:tr>
      <w:tr>
        <w:trPr>
          <w:cantSplit/>
        </w:trPr>
        <w:tc>
          <w:tcPr>
            <w:tcW w:type="dxa" w:w="1716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研究资源</w:t>
            </w:r>
          </w:p>
        </w:tc>
        <w:tc>
          <w:tcPr>
            <w:tcW w:type="dxa" w:w="3217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行业覆盖、研究支持、会议与调研机会</w:t>
            </w:r>
          </w:p>
        </w:tc>
        <w:tc>
          <w:tcPr>
            <w:tcW w:type="dxa" w:w="4450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结合角色贡献和战略重点调整</w:t>
            </w:r>
          </w:p>
        </w:tc>
      </w:tr>
      <w:tr>
        <w:trPr>
          <w:cantSplit/>
        </w:trPr>
        <w:tc>
          <w:tcPr>
            <w:tcW w:type="dxa" w:w="171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项目机会</w:t>
            </w:r>
          </w:p>
        </w:tc>
        <w:tc>
          <w:tcPr>
            <w:tcW w:type="dxa" w:w="3217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重点组合、投委会议题、专项研究</w:t>
            </w:r>
          </w:p>
        </w:tc>
        <w:tc>
          <w:tcPr>
            <w:tcW w:type="dxa" w:w="445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将历史贡献作为进入机会池的证据之一</w:t>
            </w:r>
          </w:p>
        </w:tc>
      </w:tr>
      <w:tr>
        <w:trPr>
          <w:cantSplit/>
        </w:trPr>
        <w:tc>
          <w:tcPr>
            <w:tcW w:type="dxa" w:w="1716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数据与算力</w:t>
            </w:r>
          </w:p>
        </w:tc>
        <w:tc>
          <w:tcPr>
            <w:tcW w:type="dxa" w:w="3217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数据订阅、终端席位、GPU和回测额度</w:t>
            </w:r>
          </w:p>
        </w:tc>
        <w:tc>
          <w:tcPr>
            <w:tcW w:type="dxa" w:w="4450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按贡献与未来任务需要综合配置</w:t>
            </w:r>
          </w:p>
        </w:tc>
      </w:tr>
      <w:tr>
        <w:trPr>
          <w:cantSplit/>
        </w:trPr>
        <w:tc>
          <w:tcPr>
            <w:tcW w:type="dxa" w:w="171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激励权益</w:t>
            </w:r>
          </w:p>
        </w:tc>
        <w:tc>
          <w:tcPr>
            <w:tcW w:type="dxa" w:w="3217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绩效奖金、团队激励或长期激励参考</w:t>
            </w:r>
          </w:p>
        </w:tc>
        <w:tc>
          <w:tcPr>
            <w:tcW w:type="dxa" w:w="445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只能作为量化证据，须符合机构制度与合规要求</w:t>
            </w:r>
          </w:p>
        </w:tc>
      </w:tr>
    </w:tbl>
    <w:p>
      <w:pPr>
        <w:spacing w:after="0"/>
      </w:pPr>
    </w:p>
    <w:p>
      <w:pPr>
        <w:pStyle w:val="Heading2"/>
        <w:keepNext w:val="1"/>
      </w:pPr>
      <w:r>
        <w:t>页面视觉与动画顺序</w:t>
      </w:r>
    </w:p>
    <w:p>
      <w:pPr>
        <w:pStyle w:val="ListBullet"/>
        <w:keepLines w:val="1"/>
      </w:pPr>
      <w:r>
        <w:t>左侧先出现60%制度轨和40%证据轨，强调两类输入的来源与作用不同。</w:t>
      </w:r>
    </w:p>
    <w:p>
      <w:pPr>
        <w:pStyle w:val="ListBullet"/>
        <w:keepLines w:val="1"/>
      </w:pPr>
      <w:r>
        <w:t>两轨汇入中部公式，让评委看到它们如何合成为每个角色的建议份额。</w:t>
      </w:r>
    </w:p>
    <w:p>
      <w:pPr>
        <w:pStyle w:val="ListBullet"/>
        <w:keepLines w:val="1"/>
      </w:pPr>
      <w:r>
        <w:t>右侧依次出现系统展示、角色陈述参考和评审委员会终裁，形成明确的治理链。</w:t>
      </w:r>
    </w:p>
    <w:p>
      <w:pPr>
        <w:pStyle w:val="ListBullet"/>
        <w:keepLines w:val="1"/>
      </w:pPr>
      <w:r>
        <w:t>底部最后出现产品截图、角色陈述边界和适用场景，结论落在人工确认后方可应用。</w:t>
      </w:r>
    </w:p>
    <w:p>
      <w:pPr>
        <w:pStyle w:val="Heading2"/>
        <w:keepNext w:val="1"/>
      </w:pPr>
      <w:r>
        <w:t>现场讲解词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16"/>
      </w:tblGrid>
      <w:tr>
        <w:trPr>
          <w:cantSplit/>
        </w:trPr>
        <w:tc>
          <w:tcPr>
            <w:tcW w:type="dxa" w:w="9916"/>
            <w:shd w:fill="17232D"/>
            <w:tcMar>
              <w:top w:w="90" w:type="dxa"/>
              <w:start w:w="170" w:type="dxa"/>
              <w:bottom w:w="90" w:type="dxa"/>
              <w:end w:w="170" w:type="dxa"/>
            </w:tcMar>
          </w:tcPr>
          <w:p>
            <w:r>
              <w:rPr>
                <w:b/>
                <w:color w:val="FFFFFF"/>
              </w:rPr>
              <w:t>现场讲解词  建议25秒</w:t>
            </w:r>
          </w:p>
        </w:tc>
      </w:tr>
      <w:tr>
        <w:trPr>
          <w:cantSplit/>
        </w:trPr>
        <w:tc>
          <w:tcPr>
            <w:tcW w:type="dxa" w:w="9916"/>
            <w:shd w:fill="F4F6F7"/>
            <w:tcMar>
              <w:top w:w="170" w:type="dxa"/>
              <w:start w:w="190" w:type="dxa"/>
              <w:bottom w:w="170" w:type="dxa"/>
              <w:end w:w="190" w:type="dxa"/>
            </w:tcMar>
          </w:tcPr>
          <w:p>
            <w:r>
              <w:rPr>
                <w:i/>
                <w:sz w:val="20"/>
              </w:rPr>
              <w:t>贡献证据不直接决定分配。我们采用6比4双轨，60%保留机构现行方案，40%由正向Shapley证据动态校正。系统同屏展示制度轨、证据轨和合成建议；五类角色可以基于证据陈述意见，但陈述不进入份额计算。最终由评审委员会独立判断、调整并确认，确认后才能用于预算、研究资源、项目机会以及数据和算力等广义价值分配。</w:t>
            </w:r>
          </w:p>
        </w:tc>
      </w:tr>
    </w:tbl>
    <w:p>
      <w:pPr>
        <w:spacing w:after="0"/>
      </w:pPr>
    </w:p>
    <w:p>
      <w:pPr>
        <w:pStyle w:val="Heading2"/>
        <w:keepNext w:val="1"/>
      </w:pPr>
      <w:r>
        <w:t>页间衔接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98"/>
        <w:gridCol w:w="7585"/>
      </w:tblGrid>
      <w:tr>
        <w:trPr>
          <w:tblHeader w:val="true"/>
        </w:trPr>
        <w:tc>
          <w:tcPr>
            <w:tcW w:type="dxa" w:w="1798"/>
            <w:shd w:fill="17232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7585"/>
            <w:shd w:fill="17232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衔接话术</w:t>
            </w:r>
          </w:p>
        </w:tc>
      </w:tr>
      <w:tr>
        <w:trPr>
          <w:cantSplit/>
        </w:trPr>
        <w:tc>
          <w:tcPr>
            <w:tcW w:type="dxa" w:w="179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进入本页</w:t>
            </w:r>
          </w:p>
        </w:tc>
        <w:tc>
          <w:tcPr>
            <w:tcW w:type="dxa" w:w="7585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前面证明了角色贡献可计算、计算过程可信，但治理问题不能只交给算法。</w:t>
            </w:r>
          </w:p>
        </w:tc>
      </w:tr>
      <w:tr>
        <w:trPr>
          <w:cantSplit/>
        </w:trPr>
        <w:tc>
          <w:tcPr>
            <w:tcW w:type="dxa" w:w="1798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本页收束</w:t>
            </w:r>
          </w:p>
        </w:tc>
        <w:tc>
          <w:tcPr>
            <w:tcW w:type="dxa" w:w="7585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因此，AlphaSplit的价值不是自动分配，而是用可审计证据改善分配讨论，进而提升参与积极性和协作质量。</w:t>
            </w:r>
          </w:p>
        </w:tc>
      </w:tr>
      <w:tr>
        <w:trPr>
          <w:cantSplit/>
        </w:trPr>
        <w:tc>
          <w:tcPr>
            <w:tcW w:type="dxa" w:w="179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进入效果或商业页</w:t>
            </w:r>
          </w:p>
        </w:tc>
        <w:tc>
          <w:tcPr>
            <w:tcW w:type="dxa" w:w="7585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当这一机制应用到预算、资源和项目机会后，机构能够把贡献证据沉淀为可持续的治理能力。</w:t>
            </w:r>
          </w:p>
        </w:tc>
      </w:tr>
    </w:tbl>
    <w:p>
      <w:pPr>
        <w:spacing w:after="0"/>
      </w:pPr>
    </w:p>
    <w:p>
      <w:pPr>
        <w:pStyle w:val="Heading2"/>
        <w:keepNext w:val="1"/>
      </w:pPr>
      <w:r>
        <w:t>可能问答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09"/>
        <w:gridCol w:w="6573"/>
      </w:tblGrid>
      <w:tr>
        <w:trPr>
          <w:tblHeader w:val="true"/>
        </w:trPr>
        <w:tc>
          <w:tcPr>
            <w:tcW w:type="dxa" w:w="2809"/>
            <w:shd w:fill="17232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评委可能提问</w:t>
            </w:r>
          </w:p>
        </w:tc>
        <w:tc>
          <w:tcPr>
            <w:tcW w:type="dxa" w:w="6573"/>
            <w:shd w:fill="17232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建议回答</w:t>
            </w:r>
          </w:p>
        </w:tc>
      </w:tr>
      <w:tr>
        <w:trPr>
          <w:cantSplit/>
        </w:trPr>
        <w:tc>
          <w:tcPr>
            <w:tcW w:type="dxa" w:w="2809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为什么是6比4</w:t>
            </w:r>
          </w:p>
        </w:tc>
        <w:tc>
          <w:tcPr>
            <w:tcW w:type="dxa" w:w="6573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它是渐进接入的产品设计  60%保留制度连续性，40%让新证据产生实质影响。它不是唯一最优比例，机构可按治理程序调整。</w:t>
            </w:r>
          </w:p>
        </w:tc>
      </w:tr>
      <w:tr>
        <w:trPr>
          <w:cantSplit/>
        </w:trPr>
        <w:tc>
          <w:tcPr>
            <w:tcW w:type="dxa" w:w="2809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为什么负贡献不参与证据轨</w:t>
            </w:r>
          </w:p>
        </w:tc>
        <w:tc>
          <w:tcPr>
            <w:tcW w:type="dxa" w:w="6573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原始负贡献仍完整保留用于解释和复盘，但若按绝对值归一化，会出现拖累越大反而奖励越多的问题，因此奖励权重只取正向贡献。</w:t>
            </w:r>
          </w:p>
        </w:tc>
      </w:tr>
      <w:tr>
        <w:trPr>
          <w:cantSplit/>
        </w:trPr>
        <w:tc>
          <w:tcPr>
            <w:tcW w:type="dxa" w:w="2809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角色陈述会不会影响分配</w:t>
            </w:r>
          </w:p>
        </w:tc>
        <w:tc>
          <w:tcPr>
            <w:tcW w:type="dxa" w:w="6573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陈述只为评审提供上下文，不进入系统建议公式。评审委员会可以基于陈述和其他治理因素人工调整，并必须记录理由。</w:t>
            </w:r>
          </w:p>
        </w:tc>
      </w:tr>
      <w:tr>
        <w:trPr>
          <w:cantSplit/>
        </w:trPr>
        <w:tc>
          <w:tcPr>
            <w:tcW w:type="dxa" w:w="2809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系统是否自动发奖金</w:t>
            </w:r>
          </w:p>
        </w:tc>
        <w:tc>
          <w:tcPr>
            <w:tcW w:type="dxa" w:w="6573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不会。系统只输出证据和合成建议；资源划拨必须由机构治理责任人确认并通过现有业务流程执行。</w:t>
            </w:r>
          </w:p>
        </w:tc>
      </w:tr>
      <w:tr>
        <w:trPr>
          <w:cantSplit/>
        </w:trPr>
        <w:tc>
          <w:tcPr>
            <w:tcW w:type="dxa" w:w="2809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能否用于奖金以外场景</w:t>
            </w:r>
          </w:p>
        </w:tc>
        <w:tc>
          <w:tcPr>
            <w:tcW w:type="dxa" w:w="6573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可以。机制面向广义价值分配，包括预算、研究资源、项目机会、数据与算力额度以及激励权益。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 w:val="1"/>
      </w:pPr>
      <w:r>
        <w:t>三页术语与口径一致性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6"/>
        <w:gridCol w:w="4607"/>
        <w:gridCol w:w="3090"/>
      </w:tblGrid>
      <w:tr>
        <w:trPr>
          <w:tblHeader w:val="true"/>
        </w:trPr>
        <w:tc>
          <w:tcPr>
            <w:tcW w:type="dxa" w:w="1686"/>
            <w:shd w:fill="17232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术语</w:t>
            </w:r>
          </w:p>
        </w:tc>
        <w:tc>
          <w:tcPr>
            <w:tcW w:type="dxa" w:w="4607"/>
            <w:shd w:fill="17232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统一写法</w:t>
            </w:r>
          </w:p>
        </w:tc>
        <w:tc>
          <w:tcPr>
            <w:tcW w:type="dxa" w:w="3090"/>
            <w:shd w:fill="17232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不要写成</w:t>
            </w:r>
          </w:p>
        </w:tc>
      </w:tr>
      <w:tr>
        <w:trPr>
          <w:cantSplit/>
        </w:trPr>
        <w:tc>
          <w:tcPr>
            <w:tcW w:type="dxa" w:w="168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项目定位</w:t>
            </w:r>
          </w:p>
        </w:tc>
        <w:tc>
          <w:tcPr>
            <w:tcW w:type="dxa" w:w="4607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投研协作激励与贡献计量平台</w:t>
            </w:r>
          </w:p>
        </w:tc>
        <w:tc>
          <w:tcPr>
            <w:tcW w:type="dxa" w:w="309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自动奖金分配平台</w:t>
            </w:r>
          </w:p>
        </w:tc>
      </w:tr>
      <w:tr>
        <w:trPr>
          <w:cantSplit/>
        </w:trPr>
        <w:tc>
          <w:tcPr>
            <w:tcW w:type="dxa" w:w="1686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五角色</w:t>
            </w:r>
          </w:p>
        </w:tc>
        <w:tc>
          <w:tcPr>
            <w:tcW w:type="dxa" w:w="4607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行业、个股、策略、量化、风控</w:t>
            </w:r>
          </w:p>
        </w:tc>
        <w:tc>
          <w:tcPr>
            <w:tcW w:type="dxa" w:w="3090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基金经理等未纳入当前动态计量的角色</w:t>
            </w:r>
          </w:p>
        </w:tc>
      </w:tr>
      <w:tr>
        <w:trPr>
          <w:cantSplit/>
        </w:trPr>
        <w:tc>
          <w:tcPr>
            <w:tcW w:type="dxa" w:w="168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输入规模</w:t>
            </w:r>
          </w:p>
        </w:tc>
        <w:tc>
          <w:tcPr>
            <w:tcW w:type="dxa" w:w="4607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五角色乘以八因子，共40项输入</w:t>
            </w:r>
          </w:p>
        </w:tc>
        <w:tc>
          <w:tcPr>
            <w:tcW w:type="dxa" w:w="309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40个Agent</w:t>
            </w:r>
          </w:p>
        </w:tc>
      </w:tr>
      <w:tr>
        <w:trPr>
          <w:cantSplit/>
        </w:trPr>
        <w:tc>
          <w:tcPr>
            <w:tcW w:type="dxa" w:w="1686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联盟规模</w:t>
            </w:r>
          </w:p>
        </w:tc>
        <w:tc>
          <w:tcPr>
            <w:tcW w:type="dxa" w:w="4607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五角色的32个联盟全枚举</w:t>
            </w:r>
          </w:p>
        </w:tc>
        <w:tc>
          <w:tcPr>
            <w:tcW w:type="dxa" w:w="3090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五次单角色剔除</w:t>
            </w:r>
          </w:p>
        </w:tc>
      </w:tr>
      <w:tr>
        <w:trPr>
          <w:cantSplit/>
        </w:trPr>
        <w:tc>
          <w:tcPr>
            <w:tcW w:type="dxa" w:w="168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归因对象</w:t>
            </w:r>
          </w:p>
        </w:tc>
        <w:tc>
          <w:tcPr>
            <w:tcW w:type="dxa" w:w="4607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相对沪深300超额收益的角色边际贡献</w:t>
            </w:r>
          </w:p>
        </w:tc>
        <w:tc>
          <w:tcPr>
            <w:tcW w:type="dxa" w:w="309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未来收益预测</w:t>
            </w:r>
          </w:p>
        </w:tc>
      </w:tr>
      <w:tr>
        <w:trPr>
          <w:cantSplit/>
        </w:trPr>
        <w:tc>
          <w:tcPr>
            <w:tcW w:type="dxa" w:w="1686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Agent权限</w:t>
            </w:r>
          </w:p>
        </w:tc>
        <w:tc>
          <w:tcPr>
            <w:tcW w:type="dxa" w:w="4607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结构化建议与证据约束解释</w:t>
            </w:r>
          </w:p>
        </w:tc>
        <w:tc>
          <w:tcPr>
            <w:tcW w:type="dxa" w:w="3090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生成收益或决定份额</w:t>
            </w:r>
          </w:p>
        </w:tc>
      </w:tr>
      <w:tr>
        <w:trPr>
          <w:cantSplit/>
        </w:trPr>
        <w:tc>
          <w:tcPr>
            <w:tcW w:type="dxa" w:w="168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证据轨</w:t>
            </w:r>
          </w:p>
        </w:tc>
        <w:tc>
          <w:tcPr>
            <w:tcW w:type="dxa" w:w="4607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按正向Shapley形成内部建议权重</w:t>
            </w:r>
          </w:p>
        </w:tc>
        <w:tc>
          <w:tcPr>
            <w:tcW w:type="dxa" w:w="309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直接按Shapley绝对值发放</w:t>
            </w:r>
          </w:p>
        </w:tc>
      </w:tr>
      <w:tr>
        <w:trPr>
          <w:cantSplit/>
        </w:trPr>
        <w:tc>
          <w:tcPr>
            <w:tcW w:type="dxa" w:w="1686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角色陈述</w:t>
            </w:r>
          </w:p>
        </w:tc>
        <w:tc>
          <w:tcPr>
            <w:tcW w:type="dxa" w:w="4607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供评审委员会参考</w:t>
            </w:r>
          </w:p>
        </w:tc>
        <w:tc>
          <w:tcPr>
            <w:tcW w:type="dxa" w:w="3090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由角色集体决定份额</w:t>
            </w:r>
          </w:p>
        </w:tc>
      </w:tr>
      <w:tr>
        <w:trPr>
          <w:cantSplit/>
        </w:trPr>
        <w:tc>
          <w:tcPr>
            <w:tcW w:type="dxa" w:w="168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评审委员会</w:t>
            </w:r>
          </w:p>
        </w:tc>
        <w:tc>
          <w:tcPr>
            <w:tcW w:type="dxa" w:w="4607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独立判断、调整并确认</w:t>
            </w:r>
          </w:p>
        </w:tc>
        <w:tc>
          <w:tcPr>
            <w:tcW w:type="dxa" w:w="309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形式化盖章</w:t>
            </w:r>
          </w:p>
        </w:tc>
      </w:tr>
      <w:tr>
        <w:trPr>
          <w:cantSplit/>
        </w:trPr>
        <w:tc>
          <w:tcPr>
            <w:tcW w:type="dxa" w:w="1686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6比4</w:t>
            </w:r>
          </w:p>
        </w:tc>
        <w:tc>
          <w:tcPr>
            <w:tcW w:type="dxa" w:w="4607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渐进接入的产品参数</w:t>
            </w:r>
          </w:p>
        </w:tc>
        <w:tc>
          <w:tcPr>
            <w:tcW w:type="dxa" w:w="3090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大赛规定或唯一最优比例</w:t>
            </w:r>
          </w:p>
        </w:tc>
      </w:tr>
      <w:tr>
        <w:trPr>
          <w:cantSplit/>
        </w:trPr>
        <w:tc>
          <w:tcPr>
            <w:tcW w:type="dxa" w:w="168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最终目标</w:t>
            </w:r>
          </w:p>
        </w:tc>
        <w:tc>
          <w:tcPr>
            <w:tcW w:type="dxa" w:w="4607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以分配机制激励参与和协同，长期促进投资回报改善</w:t>
            </w:r>
          </w:p>
        </w:tc>
        <w:tc>
          <w:tcPr>
            <w:tcW w:type="dxa" w:w="309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保证提高投资收益</w:t>
            </w:r>
          </w:p>
        </w:tc>
      </w:tr>
    </w:tbl>
    <w:p>
      <w:pPr>
        <w:spacing w:after="0"/>
      </w:pPr>
    </w:p>
    <w:p>
      <w:pPr>
        <w:pStyle w:val="Heading2"/>
        <w:keepNext w:val="1"/>
      </w:pPr>
      <w:r>
        <w:t>三页逻辑检查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89"/>
        <w:gridCol w:w="5394"/>
      </w:tblGrid>
      <w:tr>
        <w:trPr>
          <w:tblHeader w:val="true"/>
        </w:trPr>
        <w:tc>
          <w:tcPr>
            <w:tcW w:type="dxa" w:w="3989"/>
            <w:shd w:fill="17232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检查问题</w:t>
            </w:r>
          </w:p>
        </w:tc>
        <w:tc>
          <w:tcPr>
            <w:tcW w:type="dxa" w:w="5394"/>
            <w:shd w:fill="17232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合格标准</w:t>
            </w:r>
          </w:p>
        </w:tc>
      </w:tr>
      <w:tr>
        <w:trPr>
          <w:cantSplit/>
        </w:trPr>
        <w:tc>
          <w:tcPr>
            <w:tcW w:type="dxa" w:w="3989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第7页是否说明证据从哪里来</w:t>
            </w:r>
          </w:p>
        </w:tc>
        <w:tc>
          <w:tcPr>
            <w:tcW w:type="dxa" w:w="539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能清楚说出五角色、40项输入、32联盟、精确Shapley和人工治理</w:t>
            </w:r>
          </w:p>
        </w:tc>
      </w:tr>
      <w:tr>
        <w:trPr>
          <w:cantSplit/>
        </w:trPr>
        <w:tc>
          <w:tcPr>
            <w:tcW w:type="dxa" w:w="3989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第8页是否说明谁负责什么</w:t>
            </w:r>
          </w:p>
        </w:tc>
        <w:tc>
          <w:tcPr>
            <w:tcW w:type="dxa" w:w="5394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能清楚区分数据层、确定性金融引擎、Agent和评审委员会</w:t>
            </w:r>
          </w:p>
        </w:tc>
      </w:tr>
      <w:tr>
        <w:trPr>
          <w:cantSplit/>
        </w:trPr>
        <w:tc>
          <w:tcPr>
            <w:tcW w:type="dxa" w:w="3989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第13页是否说明证据如何进入分配</w:t>
            </w:r>
          </w:p>
        </w:tc>
        <w:tc>
          <w:tcPr>
            <w:tcW w:type="dxa" w:w="539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能解释制度轨、证据轨、负贡献处理、合成公式和人工终裁</w:t>
            </w:r>
          </w:p>
        </w:tc>
      </w:tr>
      <w:tr>
        <w:trPr>
          <w:cantSplit/>
        </w:trPr>
        <w:tc>
          <w:tcPr>
            <w:tcW w:type="dxa" w:w="3989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三页是否共同支持项目定位</w:t>
            </w:r>
          </w:p>
        </w:tc>
        <w:tc>
          <w:tcPr>
            <w:tcW w:type="dxa" w:w="5394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始终把分配视为激励协同的手段，把长期投资回报改善视为目标而非承诺</w:t>
            </w:r>
          </w:p>
        </w:tc>
      </w:tr>
    </w:tbl>
    <w:p>
      <w:pPr>
        <w:spacing w:after="0"/>
      </w:pPr>
    </w:p>
    <w:p>
      <w:pPr>
        <w:pStyle w:val="Heading2"/>
        <w:keepNext w:val="1"/>
      </w:pPr>
      <w:r>
        <w:t>排练清单</w:t>
      </w:r>
    </w:p>
    <w:p>
      <w:pPr>
        <w:pStyle w:val="ListBullet"/>
        <w:keepLines w:val="1"/>
      </w:pPr>
      <w:r>
        <w:t>总时长控制在100秒左右  第7页40秒，第8页35秒，第13页25秒。</w:t>
      </w:r>
    </w:p>
    <w:p>
      <w:pPr>
        <w:pStyle w:val="ListBullet"/>
        <w:keepLines w:val="1"/>
      </w:pPr>
      <w:r>
        <w:t>第一次出现Shapley时只解释为“所有联盟中的平均边际贡献”，不展开数学推导。</w:t>
      </w:r>
    </w:p>
    <w:p>
      <w:pPr>
        <w:pStyle w:val="ListBullet"/>
        <w:keepLines w:val="1"/>
      </w:pPr>
      <w:r>
        <w:t>第7页只预告6比4，不提前展开比例理由。</w:t>
      </w:r>
    </w:p>
    <w:p>
      <w:pPr>
        <w:pStyle w:val="ListBullet"/>
        <w:keepLines w:val="1"/>
      </w:pPr>
      <w:r>
        <w:t>第8页必须完整说出“收益、风险和贡献由确定性引擎计算”。</w:t>
      </w:r>
    </w:p>
    <w:p>
      <w:pPr>
        <w:pStyle w:val="ListBullet"/>
        <w:keepLines w:val="1"/>
      </w:pPr>
      <w:r>
        <w:t>第13页必须完整说出“角色陈述不进入公式，评审委员会独立确认”。</w:t>
      </w:r>
    </w:p>
    <w:p>
      <w:pPr>
        <w:pStyle w:val="ListBullet"/>
        <w:keepLines w:val="1"/>
      </w:pPr>
      <w:r>
        <w:t>每页只强调一个结论，不逐字阅读卡片内容。</w:t>
      </w:r>
    </w:p>
    <w:p>
      <w:pPr>
        <w:pStyle w:val="ListBullet"/>
        <w:keepLines w:val="1"/>
      </w:pPr>
      <w:r>
        <w:t>问答中不把历史回测结果表述为未来收益保证。</w:t>
      </w:r>
    </w:p>
    <w:p>
      <w:pPr>
        <w:pStyle w:val="ListBullet"/>
        <w:keepLines w:val="1"/>
      </w:pPr>
      <w:r>
        <w:t>官方决赛模板发布后，将三页内容迁移到官方母版，但不改变本说明文档中的口径。</w:t>
      </w:r>
    </w:p>
    <w:p>
      <w:pPr>
        <w:pStyle w:val="Heading2"/>
        <w:keepNext w:val="1"/>
      </w:pPr>
      <w:r>
        <w:t>制作交付清单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98"/>
        <w:gridCol w:w="5843"/>
        <w:gridCol w:w="1742"/>
      </w:tblGrid>
      <w:tr>
        <w:trPr>
          <w:tblHeader w:val="true"/>
        </w:trPr>
        <w:tc>
          <w:tcPr>
            <w:tcW w:type="dxa" w:w="1798"/>
            <w:shd w:fill="17232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5843"/>
            <w:shd w:fill="17232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1742"/>
            <w:shd w:fill="17232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179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第7页</w:t>
            </w:r>
          </w:p>
        </w:tc>
        <w:tc>
          <w:tcPr>
            <w:tcW w:type="dxa" w:w="5843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五步流程、32联盟、审计记录、Agent边界</w:t>
            </w:r>
          </w:p>
        </w:tc>
        <w:tc>
          <w:tcPr>
            <w:tcW w:type="dxa" w:w="174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内容已定义</w:t>
            </w:r>
          </w:p>
        </w:tc>
      </w:tr>
      <w:tr>
        <w:trPr>
          <w:cantSplit/>
        </w:trPr>
        <w:tc>
          <w:tcPr>
            <w:tcW w:type="dxa" w:w="1798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第8页</w:t>
            </w:r>
          </w:p>
        </w:tc>
        <w:tc>
          <w:tcPr>
            <w:tcW w:type="dxa" w:w="5843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四层职责、确定性核心、离线缓存、审计脊柱</w:t>
            </w:r>
          </w:p>
        </w:tc>
        <w:tc>
          <w:tcPr>
            <w:tcW w:type="dxa" w:w="1742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内容已定义</w:t>
            </w:r>
          </w:p>
        </w:tc>
      </w:tr>
      <w:tr>
        <w:trPr>
          <w:cantSplit/>
        </w:trPr>
        <w:tc>
          <w:tcPr>
            <w:tcW w:type="dxa" w:w="179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第13页</w:t>
            </w:r>
          </w:p>
        </w:tc>
        <w:tc>
          <w:tcPr>
            <w:tcW w:type="dxa" w:w="5843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6比4公式、证据池规则、评审决策门、产品截图</w:t>
            </w:r>
          </w:p>
        </w:tc>
        <w:tc>
          <w:tcPr>
            <w:tcW w:type="dxa" w:w="174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内容已定义</w:t>
            </w:r>
          </w:p>
        </w:tc>
      </w:tr>
      <w:tr>
        <w:trPr>
          <w:cantSplit/>
        </w:trPr>
        <w:tc>
          <w:tcPr>
            <w:tcW w:type="dxa" w:w="1798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讲稿</w:t>
            </w:r>
          </w:p>
        </w:tc>
        <w:tc>
          <w:tcPr>
            <w:tcW w:type="dxa" w:w="5843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40秒、35秒、25秒三个版本</w:t>
            </w:r>
          </w:p>
        </w:tc>
        <w:tc>
          <w:tcPr>
            <w:tcW w:type="dxa" w:w="1742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已写入本说明</w:t>
            </w:r>
          </w:p>
        </w:tc>
      </w:tr>
      <w:tr>
        <w:trPr>
          <w:cantSplit/>
        </w:trPr>
        <w:tc>
          <w:tcPr>
            <w:tcW w:type="dxa" w:w="179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模板迁移</w:t>
            </w:r>
          </w:p>
        </w:tc>
        <w:tc>
          <w:tcPr>
            <w:tcW w:type="dxa" w:w="5843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待官方决赛PPT模板发布后执行</w:t>
            </w:r>
          </w:p>
        </w:tc>
        <w:tc>
          <w:tcPr>
            <w:tcW w:type="dxa" w:w="174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vAlign w:val="center"/>
          </w:tcPr>
          <w:p>
            <w:pPr>
              <w:spacing w:after="0"/>
            </w:pPr>
            <w:r>
              <w:rPr>
                <w:sz w:val="18"/>
              </w:rPr>
              <w:t>待完成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12"/>
      <w:footerReference w:type="default" r:id="rId13"/>
      <w:pgSz w:w="12240" w:h="15840"/>
      <w:pgMar w:top="992" w:right="1162" w:bottom="879" w:left="1162" w:header="397" w:footer="36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第 </w:t>
    </w:r>
    <w:fldChar w:fldCharType="begin"/>
    <w:instrText xml:space="preserve"> PAGE </w:instrText>
    <w:fldChar w:fldCharType="end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5C6B73"/>
        <w:sz w:val="17"/>
      </w:rPr>
      <w:t>AlphaSplit  决赛答辩内容说明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Microsoft YaHei" w:hAnsi="Microsoft YaHei" w:eastAsia="Microsoft YaHei"/>
      <w:color w:val="2331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232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1B8A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E8ED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232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5C6B7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369" w:hanging="198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369" w:hanging="198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AlphaSplit 决赛答辩三页内容与讲解说明</dc:title>
  <dc:subject>第7页 可审计证据链 第8页 四层系统架构 第13页 6比4双轨治理</dc:subject>
  <dc:creator>AlphaSplit 项目组</dc:creator>
  <cp:keywords>AlphaSplit, Shapley, 反事实回测, 四层架构, 6比4双轨, 决赛答辩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