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Calibri" w:hAnsi="Calibri" w:eastAsia="Noto Sans SC"/>
          <w:b/>
          <w:color w:val="16B8C8"/>
          <w:sz w:val="22"/>
        </w:rPr>
        <w:t>ALPHASPLIT</w:t>
      </w:r>
    </w:p>
    <w:p>
      <w:pPr>
        <w:spacing w:after="160"/>
        <w:jc w:val="center"/>
      </w:pPr>
      <w:r>
        <w:rPr>
          <w:rFonts w:ascii="Calibri" w:hAnsi="Calibri" w:eastAsia="Noto Sans SC"/>
          <w:b/>
          <w:color w:val="0B2545"/>
          <w:sz w:val="56"/>
        </w:rPr>
        <w:t>投研协作激励与贡献计量平台</w:t>
      </w:r>
    </w:p>
    <w:p>
      <w:pPr>
        <w:spacing w:after="320"/>
        <w:jc w:val="center"/>
      </w:pPr>
      <w:r>
        <w:rPr>
          <w:rFonts w:ascii="Calibri" w:hAnsi="Calibri" w:eastAsia="Noto Sans SC"/>
          <w:b/>
          <w:color w:val="2457A6"/>
          <w:sz w:val="32"/>
        </w:rPr>
        <w:t>完整技术文档 · 优化版</w:t>
      </w:r>
    </w:p>
    <w:p>
      <w:pPr>
        <w:spacing w:after="680"/>
        <w:jc w:val="center"/>
      </w:pPr>
      <w:r>
        <w:rPr>
          <w:rFonts w:ascii="Calibri" w:hAnsi="Calibri" w:eastAsia="Noto Sans SC"/>
          <w:color w:val="5F6B78"/>
          <w:sz w:val="22"/>
        </w:rPr>
        <w:t>合理分配激励协作 · 证据可解释 · 决策由评审委员会确认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1818409"/>
            <wp:docPr id="1" name="Picture 1" descr="客户描述需求，经Agent确认方案、真实回测、Shapley贡献计量和人工治理应用的五步流程" title="项目技术闭环概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ol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1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Noto Sans SC"/>
          <w:color w:val="5F6B78"/>
          <w:sz w:val="18"/>
        </w:rPr>
        <w:t>项目技术闭环概览</w:t>
      </w:r>
    </w:p>
    <w:p>
      <w:pPr>
        <w:spacing w:before="320"/>
        <w:jc w:val="center"/>
      </w:pPr>
      <w:r>
        <w:rPr>
          <w:rFonts w:ascii="Calibri" w:hAnsi="Calibri" w:eastAsia="Noto Sans SC"/>
          <w:b/>
          <w:color w:val="0B2545"/>
          <w:sz w:val="21"/>
        </w:rPr>
        <w:t>第五届中国研究生金融科技创新大赛</w:t>
      </w:r>
    </w:p>
    <w:p>
      <w:pPr>
        <w:jc w:val="center"/>
      </w:pPr>
      <w:r>
        <w:rPr>
          <w:rFonts w:ascii="Calibri" w:hAnsi="Calibri" w:eastAsia="Noto Sans SC"/>
          <w:color w:val="5F6B78"/>
          <w:sz w:val="19"/>
        </w:rPr>
        <w:t>版本：v1.0  |  技术口径日期：2026年8月27日</w:t>
      </w:r>
    </w:p>
    <w:p>
      <w:r>
        <w:br w:type="page"/>
      </w:r>
    </w:p>
    <w:p>
      <w:pPr>
        <w:pStyle w:val="Heading1"/>
        <w:spacing w:before="0"/>
      </w:pPr>
      <w:r>
        <w:rPr>
          <w:rFonts w:ascii="Calibri" w:hAnsi="Calibri" w:eastAsia="Noto Sans SC"/>
          <w:b/>
          <w:color w:val="0B2545"/>
          <w:sz w:val="36"/>
        </w:rPr>
        <w:t>摘要</w:t>
      </w:r>
    </w:p>
    <w:p>
      <w:pPr>
        <w:keepLines w:val="0"/>
      </w:pPr>
      <w:r>
        <w:rPr>
          <w:rFonts w:ascii="Calibri" w:hAnsi="Calibri" w:eastAsia="Noto Sans SC"/>
          <w:color w:val="18212B"/>
          <w:sz w:val="21"/>
        </w:rPr>
        <w:t>AlphaSplit 是面向资产管理投研协作场景的协作激励、贡献计量与治理支持平台。项目以更合理的分配机制为手段，用可解释贡献证据调动行业、个股、策略、量化、风控五类角色的参与积极性，促进投研协同与决策质量提升，并以长期投资回报改善为目标。历史回测用于形成证据，不构成收益承诺。</w:t>
      </w:r>
    </w:p>
    <w:p>
      <w:pPr>
        <w:keepLines w:val="0"/>
      </w:pPr>
      <w:r>
        <w:rPr>
          <w:rFonts w:ascii="Calibri" w:hAnsi="Calibri" w:eastAsia="Noto Sans SC"/>
          <w:color w:val="18212B"/>
          <w:sz w:val="21"/>
        </w:rPr>
        <w:t>系统把五类角色作为合作博弈参与者，用40个登记因子和少量模块参数表达其决策输入；再通过统一数据、统一成本和统一调仓口径下的32个角色联盟反事实回测，计算各角色对组合相对沪深300超额收益的Shapley边际贡献。</w:t>
      </w:r>
    </w:p>
    <w:p>
      <w:pPr>
        <w:keepLines w:val="0"/>
      </w:pPr>
      <w:r>
        <w:rPr>
          <w:rFonts w:ascii="Calibri" w:hAnsi="Calibri" w:eastAsia="Noto Sans SC"/>
          <w:color w:val="18212B"/>
          <w:sz w:val="21"/>
        </w:rPr>
        <w:t>平台同时引入受约束Agent交互：用户可通过快捷选择和自然语言描述投资偏好，DeepSeek仅负责生成结构化因子配置建议；角色白名单、因子边界、归一化、组合构建、收益计算与贡献计量均由确定性程序完成。配置须经过人工确认才进入实时回测，结果须经过证据白名单校验才进入解读和治理环节。</w:t>
      </w:r>
    </w:p>
    <w:p>
      <w:pPr>
        <w:keepLines w:val="0"/>
      </w:pPr>
      <w:r>
        <w:rPr>
          <w:rFonts w:ascii="Calibri" w:hAnsi="Calibri" w:eastAsia="Noto Sans SC"/>
          <w:color w:val="18212B"/>
          <w:sz w:val="21"/>
        </w:rPr>
        <w:t>本版以当前提交代码中的最终引擎实现为事实基线。官方验证区间为2024年7月至2025年6月：优化策略累计收益22.67%，沪深300累计收益13.70%，超额收益8.96%，夏普比率1.24，最大回撤-5.89%；32个联盟全部完成，Shapley合计与组合超额收益一致。跨区间实验保留了负收益和负超额结果，明确不将单一区间表现解释为未来收益保证。</w:t>
      </w:r>
    </w:p>
    <w:p>
      <w:pPr>
        <w:keepLines/>
        <w:spacing w:before="100" w:after="160"/>
        <w:ind w:left="202" w:right="115"/>
        <w:shd w:fill="FFF6DF"/>
        <w:pBdr>
          <w:left w:val="single" w:sz="18" w:color="D89B24"/>
        </w:pBdr>
      </w:pPr>
      <w:r>
        <w:rPr>
          <w:rFonts w:ascii="Calibri" w:hAnsi="Calibri" w:eastAsia="Noto Sans SC"/>
          <w:b/>
          <w:color w:val="0B2545"/>
          <w:sz w:val="21"/>
        </w:rPr>
        <w:t xml:space="preserve">关键词  </w:t>
      </w:r>
      <w:r>
        <w:rPr>
          <w:rFonts w:ascii="Calibri" w:hAnsi="Calibri" w:eastAsia="Noto Sans SC"/>
          <w:color w:val="18212B"/>
          <w:sz w:val="21"/>
        </w:rPr>
        <w:t>投研贡献计量；合作博弈；Shapley值；反事实回测；多智能体规划；因子配置；可解释金融；人工确认；广义价值分配。</w:t>
      </w:r>
    </w:p>
    <w:p>
      <w:pPr>
        <w:pStyle w:val="Heading2"/>
      </w:pPr>
      <w:r>
        <w:t>版本事实基线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D7E1E8"/>
          <w:left w:val="single" w:sz="6" w:color="D7E1E8"/>
          <w:bottom w:val="single" w:sz="6" w:color="D7E1E8"/>
          <w:right w:val="single" w:sz="6" w:color="D7E1E8"/>
          <w:insideH w:val="single" w:sz="6" w:color="D7E1E8"/>
          <w:insideV w:val="single" w:sz="6" w:color="D7E1E8"/>
        </w:tblBorders>
      </w:tblPr>
      <w:tblGrid>
        <w:gridCol w:w="1800"/>
        <w:gridCol w:w="4400"/>
        <w:gridCol w:w="3160"/>
      </w:tblGrid>
      <w:tr>
        <w:trPr>
          <w:tblHeader w:val="true"/>
        </w:trPr>
        <w:tc>
          <w:tcPr>
            <w:tcW w:type="dxa" w:w="180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40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当前口径</w:t>
            </w:r>
          </w:p>
        </w:tc>
        <w:tc>
          <w:tcPr>
            <w:tcW w:type="dxa" w:w="316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核验状态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回测引擎</w:t>
            </w:r>
          </w:p>
        </w:tc>
        <w:tc>
          <w:tcPr>
            <w:tcW w:type="dxa" w:w="4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当前提交代码中的最终实现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收益、风险与归因口径一致</w:t>
            </w:r>
          </w:p>
        </w:tc>
      </w:tr>
      <w:tr>
        <w:tc>
          <w:tcPr>
            <w:tcW w:type="dxa" w:w="18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默认配置</w:t>
            </w:r>
          </w:p>
        </w:tc>
        <w:tc>
          <w:tcPr>
            <w:tcW w:type="dxa" w:w="44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diversified_defensive_v4 / version 4</w:t>
            </w:r>
          </w:p>
        </w:tc>
        <w:tc>
          <w:tcPr>
            <w:tcW w:type="dxa" w:w="316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五角色各8因子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主验证区间</w:t>
            </w:r>
          </w:p>
        </w:tc>
        <w:tc>
          <w:tcPr>
            <w:tcW w:type="dxa" w:w="4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2024-07-01 至 2025-06-30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真实月度收益路径</w:t>
            </w:r>
          </w:p>
        </w:tc>
      </w:tr>
      <w:tr>
        <w:tc>
          <w:tcPr>
            <w:tcW w:type="dxa" w:w="18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对照对象</w:t>
            </w:r>
          </w:p>
        </w:tc>
        <w:tc>
          <w:tcPr>
            <w:tcW w:type="dxa" w:w="44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优化策略 / 严格旧参数基线 / 沪深300</w:t>
            </w:r>
          </w:p>
        </w:tc>
        <w:tc>
          <w:tcPr>
            <w:tcW w:type="dxa" w:w="316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同日期、同成本、同基准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自动化验证</w:t>
            </w:r>
          </w:p>
        </w:tc>
        <w:tc>
          <w:tcPr>
            <w:tcW w:type="dxa" w:w="4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97项Python测试 + 前端与浏览器验收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全部通过</w:t>
            </w:r>
          </w:p>
        </w:tc>
      </w:tr>
    </w:tbl>
    <w:p>
      <w:pPr>
        <w:spacing w:after="20"/>
      </w:pPr>
    </w:p>
    <w:p>
      <w:pPr>
        <w:pStyle w:val="Heading2"/>
      </w:pPr>
      <w:r>
        <w:t>目录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D7E1E8"/>
          <w:left w:val="single" w:sz="6" w:color="D7E1E8"/>
          <w:bottom w:val="single" w:sz="6" w:color="D7E1E8"/>
          <w:right w:val="single" w:sz="6" w:color="D7E1E8"/>
          <w:insideH w:val="single" w:sz="6" w:color="D7E1E8"/>
          <w:insideV w:val="single" w:sz="6" w:color="D7E1E8"/>
        </w:tblBorders>
      </w:tblPr>
      <w:tblGrid>
        <w:gridCol w:w="1600"/>
        <w:gridCol w:w="7760"/>
      </w:tblGrid>
      <w:tr>
        <w:trPr>
          <w:tblHeader w:val="true"/>
        </w:trPr>
        <w:tc>
          <w:tcPr>
            <w:tcW w:type="dxa" w:w="160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章节</w:t>
            </w:r>
          </w:p>
        </w:tc>
        <w:tc>
          <w:tcPr>
            <w:tcW w:type="dxa" w:w="776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第1章</w:t>
            </w:r>
          </w:p>
        </w:tc>
        <w:tc>
          <w:tcPr>
            <w:tcW w:type="dxa" w:w="7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问题定义、设计目标与解题思路</w:t>
            </w:r>
          </w:p>
        </w:tc>
      </w:tr>
      <w:tr>
        <w:tc>
          <w:tcPr>
            <w:tcW w:type="dxa" w:w="16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第2章</w:t>
            </w:r>
          </w:p>
        </w:tc>
        <w:tc>
          <w:tcPr>
            <w:tcW w:type="dxa" w:w="776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系统架构、角色建模与40因子库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第3章</w:t>
            </w:r>
          </w:p>
        </w:tc>
        <w:tc>
          <w:tcPr>
            <w:tcW w:type="dxa" w:w="7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特征函数、反事实回测与Shapley计量</w:t>
            </w:r>
          </w:p>
        </w:tc>
      </w:tr>
      <w:tr>
        <w:tc>
          <w:tcPr>
            <w:tcW w:type="dxa" w:w="16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第4章</w:t>
            </w:r>
          </w:p>
        </w:tc>
        <w:tc>
          <w:tcPr>
            <w:tcW w:type="dxa" w:w="776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Agent规划、客户方案生成与人机协同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第5章</w:t>
            </w:r>
          </w:p>
        </w:tc>
        <w:tc>
          <w:tcPr>
            <w:tcW w:type="dxa" w:w="7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贡献证据、双轨治理与评审委员会决策</w:t>
            </w:r>
          </w:p>
        </w:tc>
      </w:tr>
      <w:tr>
        <w:tc>
          <w:tcPr>
            <w:tcW w:type="dxa" w:w="16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第6章</w:t>
            </w:r>
          </w:p>
        </w:tc>
        <w:tc>
          <w:tcPr>
            <w:tcW w:type="dxa" w:w="776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实验结果、收益修复与工程验证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附录</w:t>
            </w:r>
          </w:p>
        </w:tc>
        <w:tc>
          <w:tcPr>
            <w:tcW w:type="dxa" w:w="7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接口、配置、复现命令与参考资料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before="160" w:after="80"/>
      </w:pPr>
      <w:r>
        <w:rPr>
          <w:rFonts w:ascii="Calibri" w:hAnsi="Calibri" w:eastAsia="Noto Sans SC"/>
          <w:b/>
          <w:color w:val="16B8C8"/>
          <w:sz w:val="18"/>
        </w:rPr>
        <w:t>CHAPTER 01</w:t>
      </w:r>
    </w:p>
    <w:p>
      <w:pPr>
        <w:pStyle w:val="Heading1"/>
        <w:spacing w:before="0"/>
      </w:pPr>
      <w:r>
        <w:rPr>
          <w:rFonts w:ascii="Calibri" w:hAnsi="Calibri" w:eastAsia="Noto Sans SC"/>
          <w:b/>
          <w:color w:val="0B2545"/>
          <w:sz w:val="42"/>
        </w:rPr>
        <w:t>第1章  问题定义、设计目标与解题思路</w:t>
      </w:r>
    </w:p>
    <w:p>
      <w:pPr>
        <w:keepLines/>
        <w:spacing w:before="100" w:after="160"/>
        <w:ind w:left="202" w:right="115"/>
        <w:shd w:fill="E8F2F7"/>
        <w:pBdr>
          <w:left w:val="single" w:sz="18" w:color="2457A6"/>
        </w:pBdr>
      </w:pPr>
      <w:r>
        <w:rPr>
          <w:rFonts w:ascii="Calibri" w:hAnsi="Calibri" w:eastAsia="Noto Sans SC"/>
          <w:b/>
          <w:color w:val="0B2545"/>
          <w:sz w:val="21"/>
        </w:rPr>
        <w:t xml:space="preserve">本章要点  </w:t>
      </w:r>
      <w:r>
        <w:rPr>
          <w:rFonts w:ascii="Calibri" w:hAnsi="Calibri" w:eastAsia="Noto Sans SC"/>
          <w:color w:val="18212B"/>
          <w:sz w:val="21"/>
        </w:rPr>
        <w:t>把传统资产与因子归因推进到组织角色层，以合理分配激励投研协作；在不让大模型生成金融事实的前提下，形成可计量、可解释、可复现的贡献证据。</w:t>
      </w:r>
    </w:p>
    <w:p>
      <w:pPr>
        <w:pStyle w:val="Heading2"/>
      </w:pPr>
      <w:r>
        <w:t>1.1 应用场景与核心问题</w:t>
      </w:r>
    </w:p>
    <w:p>
      <w:pPr>
        <w:keepLines w:val="0"/>
      </w:pPr>
      <w:r>
        <w:rPr>
          <w:rFonts w:ascii="Calibri" w:hAnsi="Calibri" w:eastAsia="Noto Sans SC"/>
          <w:color w:val="18212B"/>
          <w:sz w:val="21"/>
        </w:rPr>
        <w:t>资产管理产品的结果往往由行业配置、个股研究、仓位择时、量价执行和风险约束共同产生。传统归因可以说明收益来自行业、风格或因子，却难以回答这些决策输入分别由哪些组织角色贡献、角色之间如何协同，以及结果如何进入资源配置和治理讨论。</w:t>
      </w:r>
    </w:p>
    <w:p>
      <w:pPr>
        <w:keepLines w:val="0"/>
      </w:pPr>
      <w:r>
        <w:rPr>
          <w:rFonts w:ascii="Calibri" w:hAnsi="Calibri" w:eastAsia="Noto Sans SC"/>
          <w:color w:val="18212B"/>
          <w:sz w:val="21"/>
        </w:rPr>
        <w:t>AlphaSplit聚焦的不是“给一个最终分配数字”，而是通过可审计的贡献证据形成更合理的分配机制，以调动各角色参与积极性、促进投研协同与决策质量提升，并以长期投资回报改善为目标。分配是组织激励的手段，不是项目的终点。</w:t>
      </w:r>
    </w:p>
    <w:p>
      <w:pPr>
        <w:keepLines w:val="0"/>
      </w:pPr>
      <w:r>
        <w:rPr>
          <w:rFonts w:ascii="Calibri" w:hAnsi="Calibri" w:eastAsia="Noto Sans SC"/>
          <w:color w:val="18212B"/>
          <w:sz w:val="21"/>
        </w:rPr>
        <w:t>证据链回答：角色决策输入如何被因子代理、参数如何进入组合、某角色缺席时组合如何变化、边际贡献如何汇总，以及评审委员会（或机构治理责任人）为何采纳或调整建议。</w:t>
      </w:r>
    </w:p>
    <w:p>
      <w:pPr>
        <w:numPr>
          <w:ilvl w:val="0"/>
          <w:numId w:val="10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归因对象缺口：Brinson、Barra和风格归因的对象主要是资产或风险暴露，不直接对应组织角色。</w:t>
      </w:r>
    </w:p>
    <w:p>
      <w:pPr>
        <w:numPr>
          <w:ilvl w:val="0"/>
          <w:numId w:val="10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多角色交互：策略、量化和风控常依赖上游选股结果，简单地“去掉一个角色”无法完整分摊交互效应。</w:t>
      </w:r>
    </w:p>
    <w:p>
      <w:pPr>
        <w:numPr>
          <w:ilvl w:val="0"/>
          <w:numId w:val="10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自然语言与金融引擎之间存在断层：用户能表达“更稳健”或“重视行业轮动”，但回测需要严格、有限、可校验的参数。</w:t>
      </w:r>
    </w:p>
    <w:p>
      <w:pPr>
        <w:numPr>
          <w:ilvl w:val="0"/>
          <w:numId w:val="10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演示与真实性冲突：完整32联盟回测耗时较长，路演需要快速展示，但不能用Mock金融结果冒充真实回测。</w:t>
      </w:r>
    </w:p>
    <w:p>
      <w:pPr>
        <w:pStyle w:val="Heading2"/>
      </w:pPr>
      <w:r>
        <w:t>1.2 四层解题框架</w:t>
      </w:r>
    </w:p>
    <w:p>
      <w:pPr>
        <w:numPr>
          <w:ilvl w:val="0"/>
          <w:numId w:val="11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资产与市场层：以HS300真实行情、行业映射和公开量价因子构造可复现的投资组合。</w:t>
      </w:r>
    </w:p>
    <w:p>
      <w:pPr>
        <w:numPr>
          <w:ilvl w:val="0"/>
          <w:numId w:val="11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决策链映射层：建立“角色—决策职责—因子/参数”映射，使角色参与与否具有可执行含义。</w:t>
      </w:r>
    </w:p>
    <w:p>
      <w:pPr>
        <w:numPr>
          <w:ilvl w:val="0"/>
          <w:numId w:val="11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角色贡献层：枚举32个联盟，在控制变量条件下计算特征函数v(S)，再用精确Shapley值分摊交互贡献。</w:t>
      </w:r>
    </w:p>
    <w:p>
      <w:pPr>
        <w:numPr>
          <w:ilvl w:val="0"/>
          <w:numId w:val="11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治理应用层：把带符号贡献转为证据轨建议权重，与制度轨按6:4合成；五角色陈述仅供参考，最终由评审委员会独立判断、调整并确认。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806440" cy="1847504"/>
            <wp:docPr id="2" name="Picture 2" descr="AlphaSplit五步技术闭环" title="图1-1  AlphaSplit解题思路与应用闭环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ol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47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Noto Sans SC"/>
          <w:color w:val="5F6B78"/>
          <w:sz w:val="18"/>
        </w:rPr>
        <w:t>图1-1  AlphaSplit解题思路与应用闭环</w:t>
      </w:r>
    </w:p>
    <w:p>
      <w:pPr>
        <w:pStyle w:val="Heading2"/>
      </w:pPr>
      <w:r>
        <w:t>1.3 设计目标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D7E1E8"/>
          <w:left w:val="single" w:sz="6" w:color="D7E1E8"/>
          <w:bottom w:val="single" w:sz="6" w:color="D7E1E8"/>
          <w:right w:val="single" w:sz="6" w:color="D7E1E8"/>
          <w:insideH w:val="single" w:sz="6" w:color="D7E1E8"/>
          <w:insideV w:val="single" w:sz="6" w:color="D7E1E8"/>
        </w:tblBorders>
      </w:tblPr>
      <w:tblGrid>
        <w:gridCol w:w="1500"/>
        <w:gridCol w:w="4200"/>
        <w:gridCol w:w="3660"/>
      </w:tblGrid>
      <w:tr>
        <w:trPr>
          <w:tblHeader w:val="true"/>
        </w:trPr>
        <w:tc>
          <w:tcPr>
            <w:tcW w:type="dxa" w:w="150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目标</w:t>
            </w:r>
          </w:p>
        </w:tc>
        <w:tc>
          <w:tcPr>
            <w:tcW w:type="dxa" w:w="420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含义</w:t>
            </w:r>
          </w:p>
        </w:tc>
        <w:tc>
          <w:tcPr>
            <w:tcW w:type="dxa" w:w="366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工程验收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可计量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输出带符号角色贡献，并能还原组合超额收益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Σφᵢ = R组合 - RHS300</w:t>
            </w:r>
          </w:p>
        </w:tc>
      </w:tr>
      <w:tr>
        <w:tc>
          <w:tcPr>
            <w:tcW w:type="dxa" w:w="15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可解释</w:t>
            </w:r>
          </w:p>
        </w:tc>
        <w:tc>
          <w:tcPr>
            <w:tcW w:type="dxa" w:w="42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每个指标均展示定义、公式、区间、字段和局限</w:t>
            </w:r>
          </w:p>
        </w:tc>
        <w:tc>
          <w:tcPr>
            <w:tcW w:type="dxa" w:w="366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前端数据依据面板与证据编号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可复现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数据、因子、配置、版本和成本口径可追踪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request_id、config_id、engine_version</w:t>
            </w:r>
          </w:p>
        </w:tc>
      </w:tr>
      <w:tr>
        <w:tc>
          <w:tcPr>
            <w:tcW w:type="dxa" w:w="15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可治理</w:t>
            </w:r>
          </w:p>
        </w:tc>
        <w:tc>
          <w:tcPr>
            <w:tcW w:type="dxa" w:w="42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算法结果是量化建议，不是自动裁决</w:t>
            </w:r>
          </w:p>
        </w:tc>
        <w:tc>
          <w:tcPr>
            <w:tcW w:type="dxa" w:w="366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角色陈述参考、评审委员会独立确认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可演示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路演可秒开真实预跑结果，且标明来源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预制包与实时回测明确区分</w:t>
            </w:r>
          </w:p>
        </w:tc>
      </w:tr>
    </w:tbl>
    <w:p>
      <w:pPr>
        <w:spacing w:after="20"/>
      </w:pPr>
    </w:p>
    <w:p>
      <w:pPr>
        <w:pStyle w:val="Heading2"/>
      </w:pPr>
      <w:r>
        <w:t>1.4 创新点与边界</w:t>
      </w:r>
    </w:p>
    <w:p>
      <w:pPr>
        <w:keepLines w:val="0"/>
      </w:pPr>
      <w:r>
        <w:rPr>
          <w:rFonts w:ascii="Calibri" w:hAnsi="Calibri" w:eastAsia="Noto Sans SC"/>
          <w:color w:val="18212B"/>
          <w:sz w:val="21"/>
        </w:rPr>
        <w:t>项目的创新不在于单独发明新因子或新归因公式，而在于把角色建模、受约束Agent、反事实回测、Shapley贡献和人工治理连接为可运行系统。归因对象从资产/因子扩展到组织角色；自然语言通过白名单配置进入确定性金融引擎；完整结果通过证据白名单进入解释层。</w:t>
      </w:r>
    </w:p>
    <w:p>
      <w:pPr>
        <w:keepLines/>
        <w:spacing w:before="100" w:after="160"/>
        <w:ind w:left="202" w:right="115"/>
        <w:shd w:fill="FFF6DF"/>
        <w:pBdr>
          <w:left w:val="single" w:sz="18" w:color="D89B24"/>
        </w:pBdr>
      </w:pPr>
      <w:r>
        <w:rPr>
          <w:rFonts w:ascii="Calibri" w:hAnsi="Calibri" w:eastAsia="Noto Sans SC"/>
          <w:b/>
          <w:color w:val="0B2545"/>
          <w:sz w:val="21"/>
        </w:rPr>
        <w:t xml:space="preserve">适用边界  </w:t>
      </w:r>
      <w:r>
        <w:rPr>
          <w:rFonts w:ascii="Calibri" w:hAnsi="Calibri" w:eastAsia="Noto Sans SC"/>
          <w:color w:val="18212B"/>
          <w:sz w:val="21"/>
        </w:rPr>
        <w:t>当前直接适用于股票多头、月度调仓和HS300基准场景。40因子是角色决策输入的代理，不等同于真实人员全部能力；单一区间结果不能代表未来表现；系统不替代投资决策、风险审批或治理责任人的判断。</w:t>
      </w:r>
    </w:p>
    <w:p>
      <w:r>
        <w:br w:type="page"/>
      </w:r>
    </w:p>
    <w:p>
      <w:pPr>
        <w:spacing w:before="160" w:after="80"/>
      </w:pPr>
      <w:r>
        <w:rPr>
          <w:rFonts w:ascii="Calibri" w:hAnsi="Calibri" w:eastAsia="Noto Sans SC"/>
          <w:b/>
          <w:color w:val="16B8C8"/>
          <w:sz w:val="18"/>
        </w:rPr>
        <w:t>CHAPTER 02</w:t>
      </w:r>
    </w:p>
    <w:p>
      <w:pPr>
        <w:pStyle w:val="Heading1"/>
        <w:spacing w:before="0"/>
      </w:pPr>
      <w:r>
        <w:rPr>
          <w:rFonts w:ascii="Calibri" w:hAnsi="Calibri" w:eastAsia="Noto Sans SC"/>
          <w:b/>
          <w:color w:val="0B2545"/>
          <w:sz w:val="42"/>
        </w:rPr>
        <w:t>第2章  系统架构、角色建模与40因子库</w:t>
      </w:r>
    </w:p>
    <w:p>
      <w:pPr>
        <w:keepLines/>
        <w:spacing w:before="100" w:after="160"/>
        <w:ind w:left="202" w:right="115"/>
        <w:shd w:fill="E8F2F7"/>
        <w:pBdr>
          <w:left w:val="single" w:sz="18" w:color="2457A6"/>
        </w:pBdr>
      </w:pPr>
      <w:r>
        <w:rPr>
          <w:rFonts w:ascii="Calibri" w:hAnsi="Calibri" w:eastAsia="Noto Sans SC"/>
          <w:b/>
          <w:color w:val="0B2545"/>
          <w:sz w:val="21"/>
        </w:rPr>
        <w:t xml:space="preserve">本章要点  </w:t>
      </w:r>
      <w:r>
        <w:rPr>
          <w:rFonts w:ascii="Calibri" w:hAnsi="Calibri" w:eastAsia="Noto Sans SC"/>
          <w:color w:val="18212B"/>
          <w:sz w:val="21"/>
        </w:rPr>
        <w:t>系统按交互治理、Agent编排、金融计算、数据审计四层解耦；五角色各配置8个因子，所有配置在进入回测前经过登记、方向和边界校验。</w:t>
      </w:r>
    </w:p>
    <w:p>
      <w:pPr>
        <w:pStyle w:val="Heading2"/>
      </w:pPr>
      <w:r>
        <w:t>2.1 总体架构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806440" cy="2903220"/>
            <wp:docPr id="3" name="Picture 3" descr="AlphaSplit四层软件架构" title="图2-1  AlphaSplit分层架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archite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0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Noto Sans SC"/>
          <w:color w:val="5F6B78"/>
          <w:sz w:val="18"/>
        </w:rPr>
        <w:t>图2-1  AlphaSplit分层架构</w:t>
      </w:r>
    </w:p>
    <w:p>
      <w:pPr>
        <w:keepLines w:val="0"/>
      </w:pPr>
      <w:r>
        <w:rPr>
          <w:rFonts w:ascii="Calibri" w:hAnsi="Calibri" w:eastAsia="Noto Sans SC"/>
          <w:color w:val="18212B"/>
          <w:sz w:val="21"/>
        </w:rPr>
        <w:t>交互与治理层由FastAPI静态Web页面承载，提供四步自助流程、三方收益对照、指标依据抽屉、角色贡献陈述参考和评审委员会分配决策。Agent编排层负责意图理解、结构化配置建议、查询规划和证据约束解读。金融计算层完成因子评分、组合构建、成本计算和全联盟Shapley；数据与审计层提供HS300行情、版本标识和逐月诊断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D7E1E8"/>
          <w:left w:val="single" w:sz="6" w:color="D7E1E8"/>
          <w:bottom w:val="single" w:sz="6" w:color="D7E1E8"/>
          <w:right w:val="single" w:sz="6" w:color="D7E1E8"/>
          <w:insideH w:val="single" w:sz="6" w:color="D7E1E8"/>
          <w:insideV w:val="single" w:sz="6" w:color="D7E1E8"/>
        </w:tblBorders>
      </w:tblPr>
      <w:tblGrid>
        <w:gridCol w:w="1700"/>
        <w:gridCol w:w="3600"/>
        <w:gridCol w:w="4060"/>
      </w:tblGrid>
      <w:tr>
        <w:trPr>
          <w:tblHeader w:val="true"/>
        </w:trPr>
        <w:tc>
          <w:tcPr>
            <w:tcW w:type="dxa" w:w="170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360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主要模块</w:t>
            </w:r>
          </w:p>
        </w:tc>
        <w:tc>
          <w:tcPr>
            <w:tcW w:type="dxa" w:w="406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职责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交互与治理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engine/web、engine/agentic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引导流程、图表、角色陈述参考、6:4建议与评审决策</w:t>
            </w:r>
          </w:p>
        </w:tc>
      </w:tr>
      <w:tr>
        <w:tc>
          <w:tcPr>
            <w:tcW w:type="dxa" w:w="17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Agent编排</w:t>
            </w:r>
          </w:p>
        </w:tc>
        <w:tc>
          <w:tcPr>
            <w:tcW w:type="dxa" w:w="36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agent_layer、engine/integrations/agent_bridge.py</w:t>
            </w:r>
          </w:p>
        </w:tc>
        <w:tc>
          <w:tcPr>
            <w:tcW w:type="dxa" w:w="406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规划、因子建议、证据白名单与结果解读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金融计算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backtest/query_engine.py 等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40因子、五角色Pipeline、交易成本、32联盟Shapley</w:t>
            </w:r>
          </w:p>
        </w:tc>
      </w:tr>
      <w:tr>
        <w:tc>
          <w:tcPr>
            <w:tcW w:type="dxa" w:w="17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API与保护</w:t>
            </w:r>
          </w:p>
        </w:tc>
        <w:tc>
          <w:tcPr>
            <w:tcW w:type="dxa" w:w="36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engine/api</w:t>
            </w:r>
          </w:p>
        </w:tc>
        <w:tc>
          <w:tcPr>
            <w:tcW w:type="dxa" w:w="406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结构化模型、SSE、单任务互斥、可选Token保护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数据与场景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data/processed、data/scenarios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HS300日线、行业映射、财务与演示场景</w:t>
            </w:r>
          </w:p>
        </w:tc>
      </w:tr>
    </w:tbl>
    <w:p>
      <w:pPr>
        <w:spacing w:after="20"/>
      </w:pPr>
    </w:p>
    <w:p>
      <w:pPr>
        <w:pStyle w:val="Heading2"/>
      </w:pPr>
      <w:r>
        <w:t>2.2 五角色职责与组合构建位置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806440" cy="2586505"/>
            <wp:docPr id="4" name="Picture 4" descr="五角色与40因子映射" title="图2-2  五角色、决策职责与因子类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role_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8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Noto Sans SC"/>
          <w:color w:val="5F6B78"/>
          <w:sz w:val="18"/>
        </w:rPr>
        <w:t>图2-2  五角色、决策职责与因子类型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D7E1E8"/>
          <w:left w:val="single" w:sz="6" w:color="D7E1E8"/>
          <w:bottom w:val="single" w:sz="6" w:color="D7E1E8"/>
          <w:right w:val="single" w:sz="6" w:color="D7E1E8"/>
          <w:insideH w:val="single" w:sz="6" w:color="D7E1E8"/>
          <w:insideV w:val="single" w:sz="6" w:color="D7E1E8"/>
        </w:tblBorders>
      </w:tblPr>
      <w:tblGrid>
        <w:gridCol w:w="1500"/>
        <w:gridCol w:w="2300"/>
        <w:gridCol w:w="3400"/>
        <w:gridCol w:w="2160"/>
      </w:tblGrid>
      <w:tr>
        <w:trPr>
          <w:tblHeader w:val="true"/>
        </w:trPr>
        <w:tc>
          <w:tcPr>
            <w:tcW w:type="dxa" w:w="150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30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7"/>
              </w:rPr>
              <w:t>主要决策</w:t>
            </w:r>
          </w:p>
        </w:tc>
        <w:tc>
          <w:tcPr>
            <w:tcW w:type="dxa" w:w="340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7"/>
              </w:rPr>
              <w:t>在Pipeline中的作用</w:t>
            </w:r>
          </w:p>
        </w:tc>
        <w:tc>
          <w:tcPr>
            <w:tcW w:type="dxa" w:w="216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7"/>
              </w:rPr>
              <w:t>模块参数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行业分析师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识别相对强势行业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按行业内Top-3股票平均Borda选4个行业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top_industries=4</w:t>
            </w:r>
          </w:p>
        </w:tc>
      </w:tr>
      <w:tr>
        <w:tc>
          <w:tcPr>
            <w:tcW w:type="dxa" w:w="15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个股分析师</w:t>
            </w:r>
          </w:p>
        </w:tc>
        <w:tc>
          <w:tcPr>
            <w:tcW w:type="dxa" w:w="23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形成候选股优先级</w:t>
            </w:r>
          </w:p>
        </w:tc>
        <w:tc>
          <w:tcPr>
            <w:tcW w:type="dxa" w:w="34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在目标行业中保留30只候选并保留排序</w:t>
            </w:r>
          </w:p>
        </w:tc>
        <w:tc>
          <w:tcPr>
            <w:tcW w:type="dxa" w:w="216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无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策略分析师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择时与总仓位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20日趋势为负时启用防御仓位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target_vol=15%；lookback=20；cap=50%</w:t>
            </w:r>
          </w:p>
        </w:tc>
      </w:tr>
      <w:tr>
        <w:tc>
          <w:tcPr>
            <w:tcW w:type="dxa" w:w="15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量化分析师</w:t>
            </w:r>
          </w:p>
        </w:tc>
        <w:tc>
          <w:tcPr>
            <w:tcW w:type="dxa" w:w="23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多策略信号优化</w:t>
            </w:r>
          </w:p>
        </w:tc>
        <w:tc>
          <w:tcPr>
            <w:tcW w:type="dxa" w:w="34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与个股排序按50%/50%联合Borda选10只</w:t>
            </w:r>
          </w:p>
        </w:tc>
        <w:tc>
          <w:tcPr>
            <w:tcW w:type="dxa" w:w="216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无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风控分析师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集中度与损失约束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单股/行业联合容量投影，不把降仓重新拉满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单股10%；行业30%；止损-5%</w:t>
            </w:r>
          </w:p>
        </w:tc>
      </w:tr>
    </w:tbl>
    <w:p>
      <w:pPr>
        <w:spacing w:after="20"/>
      </w:pPr>
    </w:p>
    <w:p>
      <w:pPr>
        <w:pStyle w:val="Heading2"/>
      </w:pPr>
      <w:r>
        <w:t>2.3 40因子登记表</w:t>
      </w:r>
    </w:p>
    <w:p>
      <w:pPr>
        <w:keepLines w:val="0"/>
      </w:pPr>
      <w:r>
        <w:rPr>
          <w:rFonts w:ascii="Calibri" w:hAnsi="Calibri" w:eastAsia="Noto Sans SC"/>
          <w:color w:val="18212B"/>
          <w:sz w:val="21"/>
        </w:rPr>
        <w:t>每个角色内部8个因子默认等权12.5%，总和必须归一化为100%；单因子权重上限为35%。direction=+1表示高值优先，direction=-1表示低值优先。反转、突破等基础信号若已在底层完成方向变换，则登记的是最终评分方向。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D7E1E8"/>
          <w:left w:val="single" w:sz="6" w:color="D7E1E8"/>
          <w:bottom w:val="single" w:sz="6" w:color="D7E1E8"/>
          <w:right w:val="single" w:sz="6" w:color="D7E1E8"/>
          <w:insideH w:val="single" w:sz="6" w:color="D7E1E8"/>
          <w:insideV w:val="single" w:sz="6" w:color="D7E1E8"/>
        </w:tblBorders>
      </w:tblPr>
      <w:tblGrid>
        <w:gridCol w:w="1200"/>
        <w:gridCol w:w="6100"/>
        <w:gridCol w:w="2060"/>
      </w:tblGrid>
      <w:tr>
        <w:trPr>
          <w:tblHeader w:val="true"/>
        </w:trPr>
        <w:tc>
          <w:tcPr>
            <w:tcW w:type="dxa" w:w="120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610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7"/>
              </w:rPr>
              <w:t>8个因子</w:t>
            </w:r>
          </w:p>
        </w:tc>
        <w:tc>
          <w:tcPr>
            <w:tcW w:type="dxa" w:w="206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7"/>
              </w:rPr>
              <w:t>方向口径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行业</w:t>
            </w:r>
          </w:p>
        </w:tc>
        <w:tc>
          <w:tcPr>
            <w:tcW w:type="dxa" w:w="6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5日动量；10日动量；均线偏离；均线斜率；趋势强度；趋势效率；突破信号；区间位置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均为高值优先</w:t>
            </w:r>
          </w:p>
        </w:tc>
      </w:tr>
      <w:tr>
        <w:tc>
          <w:tcPr>
            <w:tcW w:type="dxa" w:w="12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个股</w:t>
            </w:r>
          </w:p>
        </w:tc>
        <w:tc>
          <w:tcPr>
            <w:tcW w:type="dxa" w:w="61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5日反转；10日反转；RSI强度；RSI反转；随机指标；回撤；下影线支撑；下轨突破</w:t>
            </w:r>
          </w:p>
        </w:tc>
        <w:tc>
          <w:tcPr>
            <w:tcW w:type="dxa" w:w="206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底层已处理反转方向；最终高值优先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策略</w:t>
            </w:r>
          </w:p>
        </w:tc>
        <w:tc>
          <w:tcPr>
            <w:tcW w:type="dxa" w:w="6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跳过期间动量；跳空溢价；日内收益；已实现波动率；ATR比率；区间波动比；收益偏度；收益峰度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波动/ATR/区间波动/峰度低值优先</w:t>
            </w:r>
          </w:p>
        </w:tc>
      </w:tr>
      <w:tr>
        <w:tc>
          <w:tcPr>
            <w:tcW w:type="dxa" w:w="12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量化</w:t>
            </w:r>
          </w:p>
        </w:tc>
        <w:tc>
          <w:tcPr>
            <w:tcW w:type="dxa" w:w="61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成交量比率；成交量Z分数；成交额活跃度；量价相关性；OBV斜率；收盘时序排名；成交量时序排名；下行波动率</w:t>
            </w:r>
          </w:p>
        </w:tc>
        <w:tc>
          <w:tcPr>
            <w:tcW w:type="dxa" w:w="206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下行波动率低值优先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风控</w:t>
            </w:r>
          </w:p>
        </w:tc>
        <w:tc>
          <w:tcPr>
            <w:tcW w:type="dxa" w:w="6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5日已实现波动率；10日已实现波动率；下行波动率；ATR比率；区间波动比；回撤；收益偏度；收益峰度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波动与峰度低值优先；回撤接近0更优</w:t>
            </w:r>
          </w:p>
        </w:tc>
      </w:tr>
    </w:tbl>
    <w:p>
      <w:pPr>
        <w:spacing w:after="20"/>
      </w:pPr>
    </w:p>
    <w:p>
      <w:pPr>
        <w:pStyle w:val="Heading2"/>
      </w:pPr>
      <w:r>
        <w:t>2.4 数据、时间和无前视约束</w:t>
      </w:r>
    </w:p>
    <w:p>
      <w:pPr>
        <w:numPr>
          <w:ilvl w:val="0"/>
          <w:numId w:val="10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行情使用前复权日线，组合和HS300基准按照实际共同持有月份对齐。</w:t>
      </w:r>
    </w:p>
    <w:p>
      <w:pPr>
        <w:numPr>
          <w:ilvl w:val="0"/>
          <w:numId w:val="10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请求区间开始前额外加载120个自然日，只用于因子与择时预热；收益仍从请求开始日计算。</w:t>
      </w:r>
    </w:p>
    <w:p>
      <w:pPr>
        <w:numPr>
          <w:ilvl w:val="0"/>
          <w:numId w:val="10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月末信号用于次月持有，决策时点只读取当时可得数据，不使用未来收益。</w:t>
      </w:r>
    </w:p>
    <w:p>
      <w:pPr>
        <w:numPr>
          <w:ilvl w:val="0"/>
          <w:numId w:val="10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财务和行业映射按可得日期处理；任何基准月份缺失都应明确失败，不能静默补零。</w:t>
      </w:r>
    </w:p>
    <w:p>
      <w:pPr>
        <w:numPr>
          <w:ilvl w:val="0"/>
          <w:numId w:val="10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缓存键包含engine_version，代码升级后不会复用旧算法缓存。</w:t>
      </w:r>
    </w:p>
    <w:p>
      <w:r>
        <w:br w:type="page"/>
      </w:r>
    </w:p>
    <w:p>
      <w:pPr>
        <w:spacing w:before="160" w:after="80"/>
      </w:pPr>
      <w:r>
        <w:rPr>
          <w:rFonts w:ascii="Calibri" w:hAnsi="Calibri" w:eastAsia="Noto Sans SC"/>
          <w:b/>
          <w:color w:val="16B8C8"/>
          <w:sz w:val="18"/>
        </w:rPr>
        <w:t>CHAPTER 03</w:t>
      </w:r>
    </w:p>
    <w:p>
      <w:pPr>
        <w:pStyle w:val="Heading1"/>
        <w:spacing w:before="0"/>
      </w:pPr>
      <w:r>
        <w:rPr>
          <w:rFonts w:ascii="Calibri" w:hAnsi="Calibri" w:eastAsia="Noto Sans SC"/>
          <w:b/>
          <w:color w:val="0B2545"/>
          <w:sz w:val="42"/>
        </w:rPr>
        <w:t>第3章  特征函数、反事实回测与Shapley计量</w:t>
      </w:r>
    </w:p>
    <w:p>
      <w:pPr>
        <w:keepLines/>
        <w:spacing w:before="100" w:after="160"/>
        <w:ind w:left="202" w:right="115"/>
        <w:shd w:fill="E8F2F7"/>
        <w:pBdr>
          <w:left w:val="single" w:sz="18" w:color="2457A6"/>
        </w:pBdr>
      </w:pPr>
      <w:r>
        <w:rPr>
          <w:rFonts w:ascii="Calibri" w:hAnsi="Calibri" w:eastAsia="Noto Sans SC"/>
          <w:b/>
          <w:color w:val="0B2545"/>
          <w:sz w:val="21"/>
        </w:rPr>
        <w:t xml:space="preserve">本章要点  </w:t>
      </w:r>
      <w:r>
        <w:rPr>
          <w:rFonts w:ascii="Calibri" w:hAnsi="Calibri" w:eastAsia="Noto Sans SC"/>
          <w:color w:val="18212B"/>
          <w:sz w:val="21"/>
        </w:rPr>
        <w:t>把“某角色是否参与”定义为唯一实验变量，在统一数据、组合、成本和基准口径下执行全部角色联盟回测，以精确Shapley分摊交互贡献。</w:t>
      </w:r>
    </w:p>
    <w:p>
      <w:pPr>
        <w:pStyle w:val="Heading2"/>
      </w:pPr>
      <w:r>
        <w:t>3.1 特征函数定义</w:t>
      </w:r>
    </w:p>
    <w:p>
      <w:pPr>
        <w:keepLines w:val="0"/>
      </w:pPr>
      <w:r>
        <w:rPr>
          <w:rFonts w:ascii="Calibri" w:hAnsi="Calibri" w:eastAsia="Noto Sans SC"/>
          <w:color w:val="18212B"/>
          <w:sz w:val="21"/>
        </w:rPr>
        <w:t>设五角色全集N={行业、个股、策略、量化、风控}。对任意角色子集S，先运行只启用S中角色的完整Pipeline，得到同期组合累计收益R_pipeline(S)；再减去与组合实际持有月份严格对齐的沪深300累计收益R_HS300，定义：</w:t>
      </w:r>
    </w:p>
    <w:p>
      <w:pPr>
        <w:keepLines/>
        <w:spacing w:before="120" w:after="160"/>
        <w:jc w:val="center"/>
      </w:pPr>
      <w:r>
        <w:rPr>
          <w:rFonts w:ascii="Cambria Math" w:hAnsi="Cambria Math" w:eastAsia="Noto Sans SC"/>
          <w:b/>
          <w:color w:val="0B2545"/>
          <w:sz w:val="22"/>
        </w:rPr>
        <w:t>v(S) = R_pipeline(S) - R_HS300</w:t>
      </w:r>
    </w:p>
    <w:p>
      <w:pPr>
        <w:keepLines w:val="0"/>
      </w:pPr>
      <w:r>
        <w:rPr>
          <w:rFonts w:ascii="Calibri" w:hAnsi="Calibri" w:eastAsia="Noto Sans SC"/>
          <w:color w:val="18212B"/>
          <w:sz w:val="21"/>
        </w:rPr>
        <w:t>空联盟解释为只持有基准，因此v(∅)=0。全集v(N)等于优化组合相对沪深300的完整超额收益。这样，Shapley有效性对应一个可直接核验的金融恒等式。</w:t>
      </w:r>
    </w:p>
    <w:p>
      <w:pPr>
        <w:keepLines/>
        <w:spacing w:before="100" w:after="160"/>
        <w:ind w:left="202" w:right="115"/>
        <w:shd w:fill="FFF6DF"/>
        <w:pBdr>
          <w:left w:val="single" w:sz="18" w:color="D89B24"/>
        </w:pBdr>
      </w:pPr>
      <w:r>
        <w:rPr>
          <w:rFonts w:ascii="Calibri" w:hAnsi="Calibri" w:eastAsia="Noto Sans SC"/>
          <w:b/>
          <w:color w:val="0B2545"/>
          <w:sz w:val="21"/>
        </w:rPr>
        <w:t xml:space="preserve">关键口径  </w:t>
      </w:r>
      <w:r>
        <w:rPr>
          <w:rFonts w:ascii="Calibri" w:hAnsi="Calibri" w:eastAsia="Noto Sans SC"/>
          <w:color w:val="18212B"/>
          <w:sz w:val="21"/>
        </w:rPr>
        <w:t>本版特征函数是“相对HS300的超额收益”，不是组合绝对收益。旧文档中把total_return直接作为v(S)的描述已经失效。</w:t>
      </w:r>
    </w:p>
    <w:p>
      <w:pPr>
        <w:pStyle w:val="Heading2"/>
      </w:pPr>
      <w:r>
        <w:t>3.2 角色缺席与控制变量</w:t>
      </w:r>
    </w:p>
    <w:p>
      <w:pPr>
        <w:keepLines w:val="0"/>
      </w:pPr>
      <w:r>
        <w:rPr>
          <w:rFonts w:ascii="Calibri" w:hAnsi="Calibri" w:eastAsia="Noto Sans SC"/>
          <w:color w:val="18212B"/>
          <w:sz w:val="21"/>
        </w:rPr>
        <w:t>角色缺席并不意味着删除一列结果，而是跳过或中性替代其在Pipeline中的决策操作。例如，行业角色缺席时不施加行业选择；个股与量化均缺席时采用deterministic_hash_v1中性选择，避免结果依赖CSV或字典顺序；策略缺席时不主动降仓；风控缺席时不施加集中度投影。</w:t>
      </w:r>
    </w:p>
    <w:p>
      <w:pPr>
        <w:keepLines w:val="0"/>
      </w:pPr>
      <w:r>
        <w:rPr>
          <w:rFonts w:ascii="Calibri" w:hAnsi="Calibri" w:eastAsia="Noto Sans SC"/>
          <w:color w:val="18212B"/>
          <w:sz w:val="21"/>
        </w:rPr>
        <w:t>所有联盟共享同一数据范围、基准、调仓频率、交易成本、候选股票集合和引擎版本，仅参与角色集合不同。任一联盟失败即返回COALITION_BACKTEST_FAILED并终止正式归因，禁止用0填补。</w:t>
      </w:r>
    </w:p>
    <w:p>
      <w:pPr>
        <w:pStyle w:val="Heading2"/>
      </w:pPr>
      <w:r>
        <w:t>3.3 精确Shapley计算</w:t>
      </w:r>
    </w:p>
    <w:p>
      <w:pPr>
        <w:keepLines/>
        <w:spacing w:before="120" w:after="160"/>
        <w:jc w:val="center"/>
      </w:pPr>
      <w:r>
        <w:rPr>
          <w:rFonts w:ascii="Cambria Math" w:hAnsi="Cambria Math" w:eastAsia="Noto Sans SC"/>
          <w:b/>
          <w:color w:val="0B2545"/>
          <w:sz w:val="22"/>
        </w:rPr>
        <w:t>φᵢ = Σ_{S⊆N\{i}} [ |S|!(n-|S|-1)! / n! ] · [ v(S∪{i}) - v(S) ]</w:t>
      </w:r>
    </w:p>
    <w:p>
      <w:pPr>
        <w:keepLines w:val="0"/>
      </w:pPr>
      <w:r>
        <w:rPr>
          <w:rFonts w:ascii="Calibri" w:hAnsi="Calibri" w:eastAsia="Noto Sans SC"/>
          <w:color w:val="18212B"/>
          <w:sz w:val="21"/>
        </w:rPr>
        <w:t>五角色仅有2⁵=32个联盟，因此本项目采用全枚举而非蒙特卡洛近似。每个角色在所有可能加入顺序中的边际超额贡献被公平平均，角色间交互由Shapley权重自然分摊。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806440" cy="1847504"/>
            <wp:docPr id="5" name="Picture 5" descr="Shapley全联盟回测流程" title="图3-1  32联盟反事实回测与精确Shapley流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shaple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47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Noto Sans SC"/>
          <w:color w:val="5F6B78"/>
          <w:sz w:val="18"/>
        </w:rPr>
        <w:t>图3-1  32联盟反事实回测与精确Shapley流程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D7E1E8"/>
          <w:left w:val="single" w:sz="6" w:color="D7E1E8"/>
          <w:bottom w:val="single" w:sz="6" w:color="D7E1E8"/>
          <w:right w:val="single" w:sz="6" w:color="D7E1E8"/>
          <w:insideH w:val="single" w:sz="6" w:color="D7E1E8"/>
          <w:insideV w:val="single" w:sz="6" w:color="D7E1E8"/>
        </w:tblBorders>
      </w:tblPr>
      <w:tblGrid>
        <w:gridCol w:w="1800"/>
        <w:gridCol w:w="2300"/>
        <w:gridCol w:w="3000"/>
        <w:gridCol w:w="2260"/>
      </w:tblGrid>
      <w:tr>
        <w:trPr>
          <w:tblHeader w:val="true"/>
        </w:trPr>
        <w:tc>
          <w:tcPr>
            <w:tcW w:type="dxa" w:w="180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方法</w:t>
            </w:r>
          </w:p>
        </w:tc>
        <w:tc>
          <w:tcPr>
            <w:tcW w:type="dxa" w:w="230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计算对象</w:t>
            </w:r>
          </w:p>
        </w:tc>
        <w:tc>
          <w:tcPr>
            <w:tcW w:type="dxa" w:w="300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优点</w:t>
            </w:r>
          </w:p>
        </w:tc>
        <w:tc>
          <w:tcPr>
            <w:tcW w:type="dxa" w:w="226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局限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完整组合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v(N)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直接回答策略整体表现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不能拆分角色贡献</w:t>
            </w:r>
          </w:p>
        </w:tc>
      </w:tr>
      <w:tr>
        <w:tc>
          <w:tcPr>
            <w:tcW w:type="dxa" w:w="18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Leave-One-Out</w:t>
            </w:r>
          </w:p>
        </w:tc>
        <w:tc>
          <w:tcPr>
            <w:tcW w:type="dxa" w:w="23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v(N)-v(N\{i})</w:t>
            </w:r>
          </w:p>
        </w:tc>
        <w:tc>
          <w:tcPr>
            <w:tcW w:type="dxa" w:w="30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直观、计算量低</w:t>
            </w:r>
          </w:p>
        </w:tc>
        <w:tc>
          <w:tcPr>
            <w:tcW w:type="dxa" w:w="226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只看完整组合附近，忽略其他联盟交互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精确Shapley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所有联盟的加权边际贡献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满足有效性并分摊交互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计算成本随角色数指数增长</w:t>
            </w:r>
          </w:p>
        </w:tc>
      </w:tr>
    </w:tbl>
    <w:p>
      <w:pPr>
        <w:spacing w:after="20"/>
      </w:pPr>
    </w:p>
    <w:p>
      <w:pPr>
        <w:pStyle w:val="Heading2"/>
      </w:pPr>
      <w:r>
        <w:t>3.4 优化后的组合构建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806440" cy="1847504"/>
            <wp:docPr id="6" name="Picture 6" descr="组合构建流水线" title="图3-2  月度组合构建、持有与成本审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pipelin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47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Noto Sans SC"/>
          <w:color w:val="5F6B78"/>
          <w:sz w:val="18"/>
        </w:rPr>
        <w:t>图3-2  月度组合构建、持有与成本审计</w:t>
      </w:r>
    </w:p>
    <w:p>
      <w:pPr>
        <w:keepLines w:val="0"/>
      </w:pPr>
      <w:r>
        <w:rPr>
          <w:rFonts w:ascii="Calibri" w:hAnsi="Calibri" w:eastAsia="Noto Sans SC"/>
          <w:color w:val="18212B"/>
          <w:sz w:val="21"/>
        </w:rPr>
        <w:t>行业角色先输出全市场股票排序，再按行业内排名最高的3只股票计算平均Borda得分，降低行业成分数量带来的规模偏差。个股角色和量化角色分别转换为排名百分位，以50%/50%联合Borda选出最终10只股票。候选不足时在目标行业内使用确定性中性顺序补足。</w:t>
      </w:r>
    </w:p>
    <w:p>
      <w:pPr>
        <w:keepLines w:val="0"/>
      </w:pPr>
      <w:r>
        <w:rPr>
          <w:rFonts w:ascii="Calibri" w:hAnsi="Calibri" w:eastAsia="Noto Sans SC"/>
          <w:color w:val="18212B"/>
          <w:sz w:val="21"/>
        </w:rPr>
        <w:t>风控不再采用“裁剪后整体归一化”的错误做法，而是进行单股与行业联合容量投影：行业不超过30%，单股不超过10%，相对权重尽可能保留；只有容量确实不足或策略主动防御时才保留现金。交易成本按实际单边换手率计算：</w:t>
      </w:r>
    </w:p>
    <w:p>
      <w:pPr>
        <w:keepLines/>
        <w:spacing w:before="120" w:after="160"/>
        <w:jc w:val="center"/>
      </w:pPr>
      <w:r>
        <w:rPr>
          <w:rFonts w:ascii="Cambria Math" w:hAnsi="Cambria Math" w:eastAsia="Noto Sans SC"/>
          <w:b/>
          <w:color w:val="0B2545"/>
          <w:sz w:val="22"/>
        </w:rPr>
        <w:t>Cost_t = (commission_rate + slippage_rate) × one_way_turnover_t</w:t>
      </w:r>
    </w:p>
    <w:p>
      <w:pPr>
        <w:keepLines w:val="0"/>
      </w:pPr>
      <w:r>
        <w:rPr>
          <w:rFonts w:ascii="Calibri" w:hAnsi="Calibri" w:eastAsia="Noto Sans SC"/>
          <w:color w:val="18212B"/>
          <w:sz w:val="21"/>
        </w:rPr>
        <w:t>换手同时考虑股票权重和现金权重变化。初次满仓建仓或完整换仓的单边换手率为100%，持仓不变时为0，不再每月固定扣除成本。</w:t>
      </w:r>
    </w:p>
    <w:p>
      <w:pPr>
        <w:pStyle w:val="Heading2"/>
      </w:pPr>
      <w:r>
        <w:t>3.5 金融不变量与审计输出</w:t>
      </w:r>
    </w:p>
    <w:p>
      <w:pPr>
        <w:numPr>
          <w:ilvl w:val="0"/>
          <w:numId w:val="10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收益恒等式：excess_return = total_return - benchmark_return。</w:t>
      </w:r>
    </w:p>
    <w:p>
      <w:pPr>
        <w:numPr>
          <w:ilvl w:val="0"/>
          <w:numId w:val="10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贡献有效性：Σφᵢ = excess_return，允许误差必须在数值容差内。</w:t>
      </w:r>
    </w:p>
    <w:p>
      <w:pPr>
        <w:numPr>
          <w:ilvl w:val="0"/>
          <w:numId w:val="10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风险约束：任一股票≤10%，任一行业≤30%；策略降仓不得被风控重新归一化到满仓。</w:t>
      </w:r>
    </w:p>
    <w:p>
      <w:pPr>
        <w:numPr>
          <w:ilvl w:val="0"/>
          <w:numId w:val="10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逐月诊断：输出行业、股票数、总仓位、择时仓位、单边换手率和交易成本。</w:t>
      </w:r>
    </w:p>
    <w:p>
      <w:pPr>
        <w:numPr>
          <w:ilvl w:val="0"/>
          <w:numId w:val="10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可追溯标识：输出request_id、config_id、engine_version和结果来源。</w:t>
      </w:r>
    </w:p>
    <w:p>
      <w:r>
        <w:br w:type="page"/>
      </w:r>
    </w:p>
    <w:p>
      <w:pPr>
        <w:spacing w:before="160" w:after="80"/>
      </w:pPr>
      <w:r>
        <w:rPr>
          <w:rFonts w:ascii="Calibri" w:hAnsi="Calibri" w:eastAsia="Noto Sans SC"/>
          <w:b/>
          <w:color w:val="16B8C8"/>
          <w:sz w:val="18"/>
        </w:rPr>
        <w:t>CHAPTER 04</w:t>
      </w:r>
    </w:p>
    <w:p>
      <w:pPr>
        <w:pStyle w:val="Heading1"/>
        <w:spacing w:before="0"/>
      </w:pPr>
      <w:r>
        <w:rPr>
          <w:rFonts w:ascii="Calibri" w:hAnsi="Calibri" w:eastAsia="Noto Sans SC"/>
          <w:b/>
          <w:color w:val="0B2545"/>
          <w:sz w:val="42"/>
        </w:rPr>
        <w:t>第4章  Agent规划、客户方案生成与人机协同</w:t>
      </w:r>
    </w:p>
    <w:p>
      <w:pPr>
        <w:keepLines/>
        <w:spacing w:before="100" w:after="160"/>
        <w:ind w:left="202" w:right="115"/>
        <w:shd w:fill="E8F2F7"/>
        <w:pBdr>
          <w:left w:val="single" w:sz="18" w:color="2457A6"/>
        </w:pBdr>
      </w:pPr>
      <w:r>
        <w:rPr>
          <w:rFonts w:ascii="Calibri" w:hAnsi="Calibri" w:eastAsia="Noto Sans SC"/>
          <w:b/>
          <w:color w:val="0B2545"/>
          <w:sz w:val="21"/>
        </w:rPr>
        <w:t xml:space="preserve">本章要点  </w:t>
      </w:r>
      <w:r>
        <w:rPr>
          <w:rFonts w:ascii="Calibri" w:hAnsi="Calibri" w:eastAsia="Noto Sans SC"/>
          <w:color w:val="18212B"/>
          <w:sz w:val="21"/>
        </w:rPr>
        <w:t>Agent承担语义理解、配置建议和证据约束解释；确定性校验器与金融引擎掌握最终事实。所有配置先预览、后确认，失败时明确降级。</w:t>
      </w:r>
    </w:p>
    <w:p>
      <w:pPr>
        <w:pStyle w:val="Heading2"/>
      </w:pPr>
      <w:r>
        <w:t>4.1 Agent能力定位</w:t>
      </w:r>
    </w:p>
    <w:p>
      <w:pPr>
        <w:keepLines w:val="0"/>
      </w:pPr>
      <w:r>
        <w:rPr>
          <w:rFonts w:ascii="Calibri" w:hAnsi="Calibri" w:eastAsia="Noto Sans SC"/>
          <w:color w:val="18212B"/>
          <w:sz w:val="21"/>
        </w:rPr>
        <w:t>五类投研角色首先是贡献计量对象，不等同于五个自由对话的大模型实例。当前主链中的Agent能力包括：把客户意图转为受约束因子配置建议、把自然语言查询整理为结构化回测计划、把可信证据转为可读解释。大模型不直接生成收益率、风险指标、Shapley值或最终应用比例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D7E1E8"/>
          <w:left w:val="single" w:sz="6" w:color="D7E1E8"/>
          <w:bottom w:val="single" w:sz="6" w:color="D7E1E8"/>
          <w:right w:val="single" w:sz="6" w:color="D7E1E8"/>
          <w:insideH w:val="single" w:sz="6" w:color="D7E1E8"/>
          <w:insideV w:val="single" w:sz="6" w:color="D7E1E8"/>
        </w:tblBorders>
      </w:tblPr>
      <w:tblGrid>
        <w:gridCol w:w="1800"/>
        <w:gridCol w:w="2600"/>
        <w:gridCol w:w="2800"/>
        <w:gridCol w:w="2160"/>
      </w:tblGrid>
      <w:tr>
        <w:trPr>
          <w:tblHeader w:val="true"/>
        </w:trPr>
        <w:tc>
          <w:tcPr>
            <w:tcW w:type="dxa" w:w="180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7"/>
              </w:rPr>
              <w:t>Agent能力</w:t>
            </w:r>
          </w:p>
        </w:tc>
        <w:tc>
          <w:tcPr>
            <w:tcW w:type="dxa" w:w="260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7"/>
              </w:rPr>
              <w:t>输入</w:t>
            </w:r>
          </w:p>
        </w:tc>
        <w:tc>
          <w:tcPr>
            <w:tcW w:type="dxa" w:w="280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7"/>
              </w:rPr>
              <w:t>输出</w:t>
            </w:r>
          </w:p>
        </w:tc>
        <w:tc>
          <w:tcPr>
            <w:tcW w:type="dxa" w:w="216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7"/>
              </w:rPr>
              <w:t>禁止事项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因子配置Agent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偏好选项、自由文字、当前配置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白名单因子/模块参数补丁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自由创造因子；绕过边界；自动生效</w:t>
            </w:r>
          </w:p>
        </w:tc>
      </w:tr>
      <w:tr>
        <w:tc>
          <w:tcPr>
            <w:tcW w:type="dxa" w:w="18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规划Agent</w:t>
            </w:r>
          </w:p>
        </w:tc>
        <w:tc>
          <w:tcPr>
            <w:tcW w:type="dxa" w:w="26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自然语言或路演预设</w:t>
            </w:r>
          </w:p>
        </w:tc>
        <w:tc>
          <w:tcPr>
            <w:tcW w:type="dxa" w:w="28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结构化时间、基准、角色与调仓计划</w:t>
            </w:r>
          </w:p>
        </w:tc>
        <w:tc>
          <w:tcPr>
            <w:tcW w:type="dxa" w:w="216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直接计算金融指标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解读Agent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证据白名单与证据编号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带依据的摘要、风险提示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引用未知证据；承诺未来收益</w:t>
            </w:r>
          </w:p>
        </w:tc>
      </w:tr>
      <w:tr>
        <w:tc>
          <w:tcPr>
            <w:tcW w:type="dxa" w:w="18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角色贡献陈述</w:t>
            </w:r>
          </w:p>
        </w:tc>
        <w:tc>
          <w:tcPr>
            <w:tcW w:type="dxa" w:w="26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贡献、证据轨、6:4合成建议</w:t>
            </w:r>
          </w:p>
        </w:tc>
        <w:tc>
          <w:tcPr>
            <w:tcW w:type="dxa" w:w="28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仅供评审参考的角色意见</w:t>
            </w:r>
          </w:p>
        </w:tc>
        <w:tc>
          <w:tcPr>
            <w:tcW w:type="dxa" w:w="216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参与建议份额计算或最终裁决</w:t>
            </w:r>
          </w:p>
        </w:tc>
      </w:tr>
    </w:tbl>
    <w:p>
      <w:pPr>
        <w:spacing w:after="20"/>
      </w:pPr>
    </w:p>
    <w:p>
      <w:pPr>
        <w:pStyle w:val="Heading2"/>
      </w:pPr>
      <w:r>
        <w:t>4.2 DeepSeek受约束配置闭环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806440" cy="1847504"/>
            <wp:docPr id="7" name="Picture 7" descr="DeepSeek因子配置建议与人工确认闭环" title="图4-1  从客户偏好到已确认因子配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ag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47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Noto Sans SC"/>
          <w:color w:val="5F6B78"/>
          <w:sz w:val="18"/>
        </w:rPr>
        <w:t>图4-1  从客户偏好到已确认因子配置</w:t>
      </w:r>
    </w:p>
    <w:p>
      <w:pPr>
        <w:numPr>
          <w:ilvl w:val="0"/>
          <w:numId w:val="11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用户通过稳健/均衡/进取、控制回撤/获取超额/行业轮动等快捷选项，或自由文字描述需求。</w:t>
      </w:r>
    </w:p>
    <w:p>
      <w:pPr>
        <w:numPr>
          <w:ilvl w:val="0"/>
          <w:numId w:val="11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DeepSeek返回结构化建议，只能引用登记角色、40个因子及少量模块参数。</w:t>
      </w:r>
    </w:p>
    <w:p>
      <w:pPr>
        <w:numPr>
          <w:ilvl w:val="0"/>
          <w:numId w:val="11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后端执行未知字段拒绝、数值有限性、参数范围、角色内归一化和单因子35%上限校验。</w:t>
      </w:r>
    </w:p>
    <w:p>
      <w:pPr>
        <w:numPr>
          <w:ilvl w:val="0"/>
          <w:numId w:val="11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前端展示当前值、建议值、调整理由、模型来源、审计号和配置指纹；配置仍未进入回测。</w:t>
      </w:r>
    </w:p>
    <w:p>
      <w:pPr>
        <w:numPr>
          <w:ilvl w:val="0"/>
          <w:numId w:val="11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用户确认后生成config_id和provenance；未修改项保持不变，恢复默认可随时撤销建议。</w:t>
      </w:r>
    </w:p>
    <w:p>
      <w:pPr>
        <w:numPr>
          <w:ilvl w:val="0"/>
          <w:numId w:val="11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已确认factor_config随实时回测请求进入确定性引擎；预制模式只回放匹配的真实预跑结果。</w:t>
      </w:r>
    </w:p>
    <w:p>
      <w:pPr>
        <w:pStyle w:val="Heading2"/>
      </w:pPr>
      <w:r>
        <w:t>4.3 降级、重试与审计</w:t>
      </w:r>
    </w:p>
    <w:p>
      <w:pPr>
        <w:keepLines w:val="0"/>
      </w:pPr>
      <w:r>
        <w:rPr>
          <w:rFonts w:ascii="Calibri" w:hAnsi="Calibri" w:eastAsia="Noto Sans SC"/>
          <w:color w:val="18212B"/>
          <w:sz w:val="21"/>
        </w:rPr>
        <w:t>API Key仅从服务端环境变量DEEPSEEK_API_KEY读取。调用采用有限重试；若JSON Schema响应格式不被支持，则降级到JSON Object，但不会从自由文本中用正则猜测JSON。超时、JSON错误、越界或模型不可用时，系统明确返回rule_fallback及原因，不把规则结果伪装成大模型结果。</w:t>
      </w:r>
    </w:p>
    <w:p>
      <w:pPr>
        <w:keepLines w:val="0"/>
      </w:pPr>
      <w:r>
        <w:rPr>
          <w:rFonts w:ascii="Calibri" w:hAnsi="Calibri" w:eastAsia="Noto Sans SC"/>
          <w:color w:val="18212B"/>
          <w:sz w:val="21"/>
        </w:rPr>
        <w:t>每次建议记录独立audit_id、配置前后指纹、变更数量、来源、耗时和人工确认状态。日志不记录API Key、完整提示词、完整服务地址或原始错误正文，降低敏感信息泄露风险。</w:t>
      </w:r>
    </w:p>
    <w:p>
      <w:pPr>
        <w:keepLines/>
        <w:spacing w:before="100" w:after="160"/>
        <w:ind w:left="202" w:right="115"/>
        <w:shd w:fill="FFF6DF"/>
        <w:pBdr>
          <w:left w:val="single" w:sz="18" w:color="D89B24"/>
        </w:pBdr>
      </w:pPr>
      <w:r>
        <w:rPr>
          <w:rFonts w:ascii="Calibri" w:hAnsi="Calibri" w:eastAsia="Noto Sans SC"/>
          <w:b/>
          <w:color w:val="0B2545"/>
          <w:sz w:val="21"/>
        </w:rPr>
        <w:t xml:space="preserve">收敛条件  </w:t>
      </w:r>
      <w:r>
        <w:rPr>
          <w:rFonts w:ascii="Calibri" w:hAnsi="Calibri" w:eastAsia="Noto Sans SC"/>
          <w:color w:val="18212B"/>
          <w:sz w:val="21"/>
        </w:rPr>
        <w:t>Agent流程不是不断改参数直到历史收益最高，而是在配置合法、解释充分且经人工确认后进入回测。反复根据同一区间收益调参会造成样本内过拟合，系统应明确阻止这种叙述。</w:t>
      </w:r>
    </w:p>
    <w:p>
      <w:pPr>
        <w:pStyle w:val="Heading2"/>
      </w:pPr>
      <w:r>
        <w:t>4.4 四步自助体验与路演模式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D7E1E8"/>
          <w:left w:val="single" w:sz="6" w:color="D7E1E8"/>
          <w:bottom w:val="single" w:sz="6" w:color="D7E1E8"/>
          <w:right w:val="single" w:sz="6" w:color="D7E1E8"/>
          <w:insideH w:val="single" w:sz="6" w:color="D7E1E8"/>
          <w:insideV w:val="single" w:sz="6" w:color="D7E1E8"/>
        </w:tblBorders>
      </w:tblPr>
      <w:tblGrid>
        <w:gridCol w:w="1400"/>
        <w:gridCol w:w="2800"/>
        <w:gridCol w:w="3000"/>
        <w:gridCol w:w="2160"/>
      </w:tblGrid>
      <w:tr>
        <w:trPr>
          <w:tblHeader w:val="true"/>
        </w:trPr>
        <w:tc>
          <w:tcPr>
            <w:tcW w:type="dxa" w:w="140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280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用户动作</w:t>
            </w:r>
          </w:p>
        </w:tc>
        <w:tc>
          <w:tcPr>
            <w:tcW w:type="dxa" w:w="300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系统产出</w:t>
            </w:r>
          </w:p>
        </w:tc>
        <w:tc>
          <w:tcPr>
            <w:tcW w:type="dxa" w:w="216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下一步解锁条件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1 描述需求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选择偏好或与Agent对话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结构化配置建议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建议生成成功</w:t>
            </w:r>
          </w:p>
        </w:tc>
      </w:tr>
      <w:tr>
        <w:tc>
          <w:tcPr>
            <w:tcW w:type="dxa" w:w="14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2 确认方案</w:t>
            </w:r>
          </w:p>
        </w:tc>
        <w:tc>
          <w:tcPr>
            <w:tcW w:type="dxa" w:w="28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检查变更与理由并确认</w:t>
            </w:r>
          </w:p>
        </w:tc>
        <w:tc>
          <w:tcPr>
            <w:tcW w:type="dxa" w:w="30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已确认factor_config</w:t>
            </w:r>
          </w:p>
        </w:tc>
        <w:tc>
          <w:tcPr>
            <w:tcW w:type="dxa" w:w="216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人工确认完成</w:t>
            </w:r>
          </w:p>
        </w:tc>
      </w:tr>
      <w:t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3 回测理解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预制快速体验或实时回测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三方曲线、指标和贡献证据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回测结果有效</w:t>
            </w:r>
          </w:p>
        </w:tc>
      </w:tr>
      <w:tr>
        <w:tc>
          <w:tcPr>
            <w:tcW w:type="dxa" w:w="14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4 分配决策</w:t>
            </w:r>
          </w:p>
        </w:tc>
        <w:tc>
          <w:tcPr>
            <w:tcW w:type="dxa" w:w="28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查看双轨建议与角色参考意见</w:t>
            </w:r>
          </w:p>
        </w:tc>
        <w:tc>
          <w:tcPr>
            <w:tcW w:type="dxa" w:w="30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评审建议与决策记录</w:t>
            </w:r>
          </w:p>
        </w:tc>
        <w:tc>
          <w:tcPr>
            <w:tcW w:type="dxa" w:w="216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评审委员会确认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Noto Sans SC"/>
          <w:color w:val="18212B"/>
          <w:sz w:val="21"/>
        </w:rPr>
        <w:t>路演默认推荐“使用预制数据快速体验”。预制包来自同一真实引擎的完整预跑，包含优化策略、严格旧参数基线和HS300同日期月度曲线；它不是Mock，也不会声称回放的是任意现场临时生成配置。实时回测适用于验证已确认的客户专属配置，耗时取决于数据和32联盟计算。</w:t>
      </w:r>
    </w:p>
    <w:p>
      <w:pPr>
        <w:pStyle w:val="Heading2"/>
      </w:pPr>
      <w:r>
        <w:t>4.5 证据白名单与可解释指标</w:t>
      </w:r>
    </w:p>
    <w:p>
      <w:pPr>
        <w:keepLines w:val="0"/>
      </w:pPr>
      <w:r>
        <w:rPr>
          <w:rFonts w:ascii="Calibri" w:hAnsi="Calibri" w:eastAsia="Noto Sans SC"/>
          <w:color w:val="18212B"/>
          <w:sz w:val="21"/>
        </w:rPr>
        <w:t>回测结果进入解读Agent前，系统检查所有数值有限性、最大回撤范围、收益恒等式、角色权重合计、单角色50%上限和Shapley可加性。不一致字段被隔离并生成警告；可信字段生成E001等证据编号。涉及数字的模型结论必须引用合法证据编号，否则自动降级为确定性解释。</w:t>
      </w:r>
    </w:p>
    <w:p>
      <w:pPr>
        <w:keepLines w:val="0"/>
      </w:pPr>
      <w:r>
        <w:rPr>
          <w:rFonts w:ascii="Calibri" w:hAnsi="Calibri" w:eastAsia="Noto Sans SC"/>
          <w:color w:val="18212B"/>
          <w:sz w:val="21"/>
        </w:rPr>
        <w:t>前端每个核心指标提供“数据依据”：显示定义、公式、本次代入、时间区间、基准、后端字段、request_id、config_id和使用局限。这使页面上的22.67%、8.96%、1.24和-5.89%都能被追溯，而不是孤立展示。</w:t>
      </w:r>
    </w:p>
    <w:p>
      <w:r>
        <w:br w:type="page"/>
      </w:r>
    </w:p>
    <w:p>
      <w:pPr>
        <w:spacing w:before="160" w:after="80"/>
      </w:pPr>
      <w:r>
        <w:rPr>
          <w:rFonts w:ascii="Calibri" w:hAnsi="Calibri" w:eastAsia="Noto Sans SC"/>
          <w:b/>
          <w:color w:val="16B8C8"/>
          <w:sz w:val="18"/>
        </w:rPr>
        <w:t>CHAPTER 05</w:t>
      </w:r>
    </w:p>
    <w:p>
      <w:pPr>
        <w:pStyle w:val="Heading1"/>
        <w:spacing w:before="0"/>
      </w:pPr>
      <w:r>
        <w:rPr>
          <w:rFonts w:ascii="Calibri" w:hAnsi="Calibri" w:eastAsia="Noto Sans SC"/>
          <w:b/>
          <w:color w:val="0B2545"/>
          <w:sz w:val="42"/>
        </w:rPr>
        <w:t>第5章  贡献证据、双轨治理与评审委员会决策</w:t>
      </w:r>
    </w:p>
    <w:p>
      <w:pPr>
        <w:keepLines/>
        <w:spacing w:before="100" w:after="160"/>
        <w:ind w:left="202" w:right="115"/>
        <w:shd w:fill="E8F2F7"/>
        <w:pBdr>
          <w:left w:val="single" w:sz="18" w:color="2457A6"/>
        </w:pBdr>
      </w:pPr>
      <w:r>
        <w:rPr>
          <w:rFonts w:ascii="Calibri" w:hAnsi="Calibri" w:eastAsia="Noto Sans SC"/>
          <w:b/>
          <w:color w:val="0B2545"/>
          <w:sz w:val="21"/>
        </w:rPr>
        <w:t xml:space="preserve">本章要点  </w:t>
      </w:r>
      <w:r>
        <w:rPr>
          <w:rFonts w:ascii="Calibri" w:hAnsi="Calibri" w:eastAsia="Noto Sans SC"/>
          <w:color w:val="18212B"/>
          <w:sz w:val="21"/>
        </w:rPr>
        <w:t>带符号Shapley用于解释角色对超额收益的边际影响；只有正向贡献进入证据轨建议权重，再与制度轨按6:4合成。角色陈述仅供参考，最终由评审委员会独立决策。</w:t>
      </w:r>
    </w:p>
    <w:p>
      <w:pPr>
        <w:pStyle w:val="Heading2"/>
      </w:pPr>
      <w:r>
        <w:t>5.1 从带符号贡献到证据轨权重</w:t>
      </w:r>
    </w:p>
    <w:p>
      <w:pPr>
        <w:keepLines w:val="0"/>
      </w:pPr>
      <w:r>
        <w:rPr>
          <w:rFonts w:ascii="Calibri" w:hAnsi="Calibri" w:eastAsia="Noto Sans SC"/>
          <w:color w:val="18212B"/>
          <w:sz w:val="21"/>
        </w:rPr>
        <w:t>role_breakdown.shapley_raw保留正负符号。正值说明该角色在所有联盟中的平均边际作用提高了组合超额收益，负值说明在当前区间与当前设定下形成拖累。负贡献不是程序错误，也不应通过更换样本或反复调参强行改成正值。</w:t>
      </w:r>
    </w:p>
    <w:p>
      <w:pPr>
        <w:keepLines w:val="0"/>
      </w:pPr>
      <w:r>
        <w:rPr>
          <w:rFonts w:ascii="Calibri" w:hAnsi="Calibri" w:eastAsia="Noto Sans SC"/>
          <w:color w:val="18212B"/>
          <w:sz w:val="21"/>
        </w:rPr>
        <w:t>证据轨weight仅使用正向Shapley，并设置单角色50%上限。若某角色先达到上限，剩余权重通过水位法分配给其他正贡献角色。因此，Shapley贡献占比与证据轨建议权重不是同一概念。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806440" cy="2428148"/>
            <wp:docPr id="8" name="Picture 8" descr="五角色Shapley贡献和证据轨权重柱状图" title="图5-1  角色带符号贡献与证据轨建议权重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rol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28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Noto Sans SC"/>
          <w:color w:val="5F6B78"/>
          <w:sz w:val="18"/>
        </w:rPr>
        <w:t>图5-1  角色带符号贡献与证据轨建议权重</w:t>
      </w:r>
    </w:p>
    <w:p>
      <w:pPr>
        <w:pStyle w:val="Heading2"/>
      </w:pPr>
      <w:r>
        <w:t>5.2 6:4双轨机制</w:t>
      </w:r>
    </w:p>
    <w:p>
      <w:pPr>
        <w:keepLines/>
        <w:spacing w:before="120" w:after="160"/>
        <w:jc w:val="center"/>
      </w:pPr>
      <w:r>
        <w:rPr>
          <w:rFonts w:ascii="Cambria Math" w:hAnsi="Cambria Math" w:eastAsia="Noto Sans SC"/>
          <w:b/>
          <w:color w:val="0B2545"/>
          <w:sz w:val="22"/>
        </w:rPr>
        <w:t>Final_i = 60% × Institutional_i + 40% × Evidence_i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806440" cy="2350226"/>
            <wp:docPr id="9" name="Picture 9" descr="6比4双轨治理流程" title="图5-2  制度轨、证据轨与最终合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governan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50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Noto Sans SC"/>
          <w:color w:val="5F6B78"/>
          <w:sz w:val="18"/>
        </w:rPr>
        <w:t>图5-2  制度轨、证据轨与最终合成</w:t>
      </w:r>
    </w:p>
    <w:p>
      <w:pPr>
        <w:keepLines w:val="0"/>
      </w:pPr>
      <w:r>
        <w:rPr>
          <w:rFonts w:ascii="Calibri" w:hAnsi="Calibri" w:eastAsia="Noto Sans SC"/>
          <w:color w:val="18212B"/>
          <w:sz w:val="21"/>
        </w:rPr>
        <w:t>制度轨内部比例、证据轨内部比例和6:4合成建议必须在前端明确区分。角色贡献陈述以合成建议和贡献证据为参考背景，但不参与建议份额计算；评审委员会（或机构治理责任人）据此独立判断、调整并确认，而不是由角色Agent决定分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D7E1E8"/>
          <w:left w:val="single" w:sz="6" w:color="D7E1E8"/>
          <w:bottom w:val="single" w:sz="6" w:color="D7E1E8"/>
          <w:right w:val="single" w:sz="6" w:color="D7E1E8"/>
          <w:insideH w:val="single" w:sz="6" w:color="D7E1E8"/>
          <w:insideV w:val="single" w:sz="6" w:color="D7E1E8"/>
        </w:tblBorders>
      </w:tblPr>
      <w:tblGrid>
        <w:gridCol w:w="1800"/>
        <w:gridCol w:w="1900"/>
        <w:gridCol w:w="2400"/>
        <w:gridCol w:w="3260"/>
      </w:tblGrid>
      <w:tr>
        <w:trPr>
          <w:tblHeader w:val="true"/>
        </w:trPr>
        <w:tc>
          <w:tcPr>
            <w:tcW w:type="dxa" w:w="180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190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Shapley贡献</w:t>
            </w:r>
          </w:p>
        </w:tc>
        <w:tc>
          <w:tcPr>
            <w:tcW w:type="dxa" w:w="240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证据轨内部权重</w:t>
            </w:r>
          </w:p>
        </w:tc>
        <w:tc>
          <w:tcPr>
            <w:tcW w:type="dxa" w:w="326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制度轨等权时最终比例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行业分析师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+19.23%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50.00%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32.00%</w:t>
            </w:r>
          </w:p>
        </w:tc>
      </w:tr>
      <w:tr>
        <w:tc>
          <w:tcPr>
            <w:tcW w:type="dxa" w:w="18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个股分析师</w:t>
            </w:r>
          </w:p>
        </w:tc>
        <w:tc>
          <w:tcPr>
            <w:tcW w:type="dxa" w:w="19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-5.26%</w:t>
            </w:r>
          </w:p>
        </w:tc>
        <w:tc>
          <w:tcPr>
            <w:tcW w:type="dxa" w:w="24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0.00%</w:t>
            </w:r>
          </w:p>
        </w:tc>
        <w:tc>
          <w:tcPr>
            <w:tcW w:type="dxa" w:w="326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12.00%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策略分析师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+2.98%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50.00%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32.00%</w:t>
            </w:r>
          </w:p>
        </w:tc>
      </w:tr>
      <w:tr>
        <w:tc>
          <w:tcPr>
            <w:tcW w:type="dxa" w:w="18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量化分析师</w:t>
            </w:r>
          </w:p>
        </w:tc>
        <w:tc>
          <w:tcPr>
            <w:tcW w:type="dxa" w:w="19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-6.87%</w:t>
            </w:r>
          </w:p>
        </w:tc>
        <w:tc>
          <w:tcPr>
            <w:tcW w:type="dxa" w:w="24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0.00%</w:t>
            </w:r>
          </w:p>
        </w:tc>
        <w:tc>
          <w:tcPr>
            <w:tcW w:type="dxa" w:w="326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12.00%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风控分析师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-1.12%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0.00%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12.00%</w:t>
            </w:r>
          </w:p>
        </w:tc>
      </w:tr>
      <w:tr>
        <w:tc>
          <w:tcPr>
            <w:tcW w:type="dxa" w:w="18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合计</w:t>
            </w:r>
          </w:p>
        </w:tc>
        <w:tc>
          <w:tcPr>
            <w:tcW w:type="dxa" w:w="19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+8.96%</w:t>
            </w:r>
          </w:p>
        </w:tc>
        <w:tc>
          <w:tcPr>
            <w:tcW w:type="dxa" w:w="24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100.00%</w:t>
            </w:r>
          </w:p>
        </w:tc>
        <w:tc>
          <w:tcPr>
            <w:tcW w:type="dxa" w:w="326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100.00%</w:t>
            </w:r>
          </w:p>
        </w:tc>
      </w:tr>
    </w:tbl>
    <w:p>
      <w:pPr>
        <w:spacing w:after="20"/>
      </w:pPr>
    </w:p>
    <w:p>
      <w:pPr>
        <w:keepLines/>
        <w:spacing w:before="100" w:after="160"/>
        <w:ind w:left="202" w:right="115"/>
        <w:shd w:fill="E8F2F7"/>
        <w:pBdr>
          <w:left w:val="single" w:sz="18" w:color="2457A6"/>
        </w:pBdr>
      </w:pPr>
      <w:r>
        <w:rPr>
          <w:rFonts w:ascii="Calibri" w:hAnsi="Calibri" w:eastAsia="Noto Sans SC"/>
          <w:b/>
          <w:color w:val="0B2545"/>
          <w:sz w:val="21"/>
        </w:rPr>
        <w:t xml:space="preserve">解释示例  </w:t>
      </w:r>
      <w:r>
        <w:rPr>
          <w:rFonts w:ascii="Calibri" w:hAnsi="Calibri" w:eastAsia="Noto Sans SC"/>
          <w:color w:val="18212B"/>
          <w:sz w:val="21"/>
        </w:rPr>
        <w:t>行业角色的+19.23%大于组合整体+8.96%，是因为个股、量化和风控的负边际贡献抵消了部分行业与策略的正贡献。这正是保留带符号Shapley而不是只看百分比排名的价值。</w:t>
      </w:r>
    </w:p>
    <w:p>
      <w:pPr>
        <w:pStyle w:val="Heading2"/>
      </w:pPr>
      <w:r>
        <w:t>5.3 角色贡献陈述与评审委员会决策</w:t>
      </w:r>
    </w:p>
    <w:p>
      <w:pPr>
        <w:keepLines w:val="0"/>
      </w:pPr>
      <w:r>
        <w:rPr>
          <w:rFonts w:ascii="Calibri" w:hAnsi="Calibri" w:eastAsia="Noto Sans SC"/>
          <w:color w:val="18212B"/>
          <w:sz w:val="21"/>
        </w:rPr>
        <w:t>系统读取角色贡献、证据轨权重和6:4合成建议，组织五类角色基于证据陈述意见。行业角色可以说明其主要正贡献来源；负贡献角色可以提出市场阶段、约束成本或后续复盘计划。这些陈述仅构成评审参考条件，不改变6:4合成建议，也不构成分配决定。</w:t>
      </w:r>
    </w:p>
    <w:p>
      <w:pPr>
        <w:keepLines w:val="0"/>
      </w:pPr>
      <w:r>
        <w:rPr>
          <w:rFonts w:ascii="Calibri" w:hAnsi="Calibri" w:eastAsia="Noto Sans SC"/>
          <w:color w:val="18212B"/>
          <w:sz w:val="21"/>
        </w:rPr>
        <w:t>评审委员会（或机构治理责任人）是分配决策者，可综合量化证据、角色陈述和机构治理规则独立判断、调整并确认。决策记录应包含原方案、纯证据方案、合成建议、角色参考意见、确认人、时间和版本。系统不直接执行预算、研究资源、项目机会、数据/算力额度或其他资源的划拨。</w:t>
      </w:r>
    </w:p>
    <w:p>
      <w:pPr>
        <w:pStyle w:val="Heading2"/>
      </w:pPr>
      <w:r>
        <w:t>5.4 适用的广义价值分配场景</w:t>
      </w:r>
    </w:p>
    <w:p>
      <w:pPr>
        <w:numPr>
          <w:ilvl w:val="0"/>
          <w:numId w:val="10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投研预算：根据角色贡献与制度要求调整下一周期研究预算。</w:t>
      </w:r>
    </w:p>
    <w:p>
      <w:pPr>
        <w:numPr>
          <w:ilvl w:val="0"/>
          <w:numId w:val="10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研究资源：分配数据订阅、算力、外部专家和调研额度。</w:t>
      </w:r>
    </w:p>
    <w:p>
      <w:pPr>
        <w:numPr>
          <w:ilvl w:val="0"/>
          <w:numId w:val="10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项目机会：决定重点课题、产品孵化和跨团队协作机会。</w:t>
      </w:r>
    </w:p>
    <w:p>
      <w:pPr>
        <w:numPr>
          <w:ilvl w:val="0"/>
          <w:numId w:val="10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组织复盘：识别当前市场状态下的正向驱动和负向拖累，形成改进计划。</w:t>
      </w:r>
    </w:p>
    <w:p>
      <w:pPr>
        <w:numPr>
          <w:ilvl w:val="0"/>
          <w:numId w:val="10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治理审计：保留算法证据、角色参考意见和评审委员会决策记录，支持事后复核。</w:t>
      </w:r>
    </w:p>
    <w:p>
      <w:r>
        <w:br w:type="page"/>
      </w:r>
    </w:p>
    <w:p>
      <w:pPr>
        <w:spacing w:before="160" w:after="80"/>
      </w:pPr>
      <w:r>
        <w:rPr>
          <w:rFonts w:ascii="Calibri" w:hAnsi="Calibri" w:eastAsia="Noto Sans SC"/>
          <w:b/>
          <w:color w:val="16B8C8"/>
          <w:sz w:val="18"/>
        </w:rPr>
        <w:t>CHAPTER 06</w:t>
      </w:r>
    </w:p>
    <w:p>
      <w:pPr>
        <w:pStyle w:val="Heading1"/>
        <w:spacing w:before="0"/>
      </w:pPr>
      <w:r>
        <w:rPr>
          <w:rFonts w:ascii="Calibri" w:hAnsi="Calibri" w:eastAsia="Noto Sans SC"/>
          <w:b/>
          <w:color w:val="0B2545"/>
          <w:sz w:val="42"/>
        </w:rPr>
        <w:t>第6章  实验结果、收益修复与工程验证</w:t>
      </w:r>
    </w:p>
    <w:p>
      <w:pPr>
        <w:keepLines/>
        <w:spacing w:before="100" w:after="160"/>
        <w:ind w:left="202" w:right="115"/>
        <w:shd w:fill="E8F2F7"/>
        <w:pBdr>
          <w:left w:val="single" w:sz="18" w:color="2457A6"/>
        </w:pBdr>
      </w:pPr>
      <w:r>
        <w:rPr>
          <w:rFonts w:ascii="Calibri" w:hAnsi="Calibri" w:eastAsia="Noto Sans SC"/>
          <w:b/>
          <w:color w:val="0B2545"/>
          <w:sz w:val="21"/>
        </w:rPr>
        <w:t xml:space="preserve">本章要点  </w:t>
      </w:r>
      <w:r>
        <w:rPr>
          <w:rFonts w:ascii="Calibri" w:hAnsi="Calibri" w:eastAsia="Noto Sans SC"/>
          <w:color w:val="18212B"/>
          <w:sz w:val="21"/>
        </w:rPr>
        <w:t>本章报告优化策略、严格旧参数基线和HS300的真实同口径结果，同时解释29.51%与1.43%两种历史结果为何都不能作为当前可信基线。</w:t>
      </w:r>
    </w:p>
    <w:p>
      <w:pPr>
        <w:pStyle w:val="Heading2"/>
      </w:pPr>
      <w:r>
        <w:t>6.1 主实验设置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D7E1E8"/>
          <w:left w:val="single" w:sz="6" w:color="D7E1E8"/>
          <w:bottom w:val="single" w:sz="6" w:color="D7E1E8"/>
          <w:right w:val="single" w:sz="6" w:color="D7E1E8"/>
          <w:insideH w:val="single" w:sz="6" w:color="D7E1E8"/>
          <w:insideV w:val="single" w:sz="6" w:color="D7E1E8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686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设置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请求ID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optimized_diversified_defensive_v4_20260827</w:t>
            </w:r>
          </w:p>
        </w:tc>
      </w:tr>
      <w:tr>
        <w:tc>
          <w:tcPr>
            <w:tcW w:type="dxa" w:w="25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配置ID</w:t>
            </w:r>
          </w:p>
        </w:tc>
        <w:tc>
          <w:tcPr>
            <w:tcW w:type="dxa" w:w="686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diversified_defensive_v4 / version 4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区间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2024-07-01 至 2025-06-30</w:t>
            </w:r>
          </w:p>
        </w:tc>
      </w:tr>
      <w:tr>
        <w:tc>
          <w:tcPr>
            <w:tcW w:type="dxa" w:w="25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基准</w:t>
            </w:r>
          </w:p>
        </w:tc>
        <w:tc>
          <w:tcPr>
            <w:tcW w:type="dxa" w:w="686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沪深300，同实际持有月份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股票与交易日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298只股票；241个有效交易日</w:t>
            </w:r>
          </w:p>
        </w:tc>
      </w:tr>
      <w:tr>
        <w:tc>
          <w:tcPr>
            <w:tcW w:type="dxa" w:w="25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调仓与持仓</w:t>
            </w:r>
          </w:p>
        </w:tc>
        <w:tc>
          <w:tcPr>
            <w:tcW w:type="dxa" w:w="686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月度调仓；12个月均为10只股票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成本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实际单边换手率 × 0.20%综合费率与滑点</w:t>
            </w:r>
          </w:p>
        </w:tc>
      </w:tr>
      <w:tr>
        <w:tc>
          <w:tcPr>
            <w:tcW w:type="dxa" w:w="25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贡献计量</w:t>
            </w:r>
          </w:p>
        </w:tc>
        <w:tc>
          <w:tcPr>
            <w:tcW w:type="dxa" w:w="686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31个非空联盟 + 1个空联盟；精确Shapley</w:t>
            </w:r>
          </w:p>
        </w:tc>
      </w:tr>
    </w:tbl>
    <w:p>
      <w:pPr>
        <w:spacing w:after="20"/>
      </w:pPr>
    </w:p>
    <w:p>
      <w:pPr>
        <w:pStyle w:val="Heading2"/>
      </w:pPr>
      <w:r>
        <w:t>6.2 三方案表现对比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806440" cy="2771255"/>
            <wp:docPr id="10" name="Picture 10" descr="2024年7月至2025年6月三条累计收益曲线" title="图6-1  优化策略、严格旧参数基线与沪深300累计收益路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return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71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Noto Sans SC"/>
          <w:color w:val="5F6B78"/>
          <w:sz w:val="18"/>
        </w:rPr>
        <w:t>图6-1  优化策略、严格旧参数基线与沪深300累计收益路径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D7E1E8"/>
          <w:left w:val="single" w:sz="6" w:color="D7E1E8"/>
          <w:bottom w:val="single" w:sz="6" w:color="D7E1E8"/>
          <w:right w:val="single" w:sz="6" w:color="D7E1E8"/>
          <w:insideH w:val="single" w:sz="6" w:color="D7E1E8"/>
          <w:insideV w:val="single" w:sz="6" w:color="D7E1E8"/>
        </w:tblBorders>
      </w:tblPr>
      <w:tblGrid>
        <w:gridCol w:w="2500"/>
        <w:gridCol w:w="2286"/>
        <w:gridCol w:w="2287"/>
        <w:gridCol w:w="2287"/>
      </w:tblGrid>
      <w:tr>
        <w:trPr>
          <w:tblHeader w:val="true"/>
        </w:trPr>
        <w:tc>
          <w:tcPr>
            <w:tcW w:type="dxa" w:w="250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2286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优化策略</w:t>
            </w:r>
          </w:p>
        </w:tc>
        <w:tc>
          <w:tcPr>
            <w:tcW w:type="dxa" w:w="2287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严格旧参数基线</w:t>
            </w:r>
          </w:p>
        </w:tc>
        <w:tc>
          <w:tcPr>
            <w:tcW w:type="dxa" w:w="2287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沪深300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累计收益</w:t>
            </w:r>
          </w:p>
        </w:tc>
        <w:tc>
          <w:tcPr>
            <w:tcW w:type="dxa" w:w="22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22.67%</w:t>
            </w:r>
          </w:p>
        </w:tc>
        <w:tc>
          <w:tcPr>
            <w:tcW w:type="dxa" w:w="22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9.30%</w:t>
            </w:r>
          </w:p>
        </w:tc>
        <w:tc>
          <w:tcPr>
            <w:tcW w:type="dxa" w:w="22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13.70%</w:t>
            </w:r>
          </w:p>
        </w:tc>
      </w:tr>
      <w:tr>
        <w:tc>
          <w:tcPr>
            <w:tcW w:type="dxa" w:w="25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相对沪深300超额</w:t>
            </w:r>
          </w:p>
        </w:tc>
        <w:tc>
          <w:tcPr>
            <w:tcW w:type="dxa" w:w="2286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+8.96%</w:t>
            </w:r>
          </w:p>
        </w:tc>
        <w:tc>
          <w:tcPr>
            <w:tcW w:type="dxa" w:w="2287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-4.41%</w:t>
            </w:r>
          </w:p>
        </w:tc>
        <w:tc>
          <w:tcPr>
            <w:tcW w:type="dxa" w:w="2287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0.00%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年化夏普比率</w:t>
            </w:r>
          </w:p>
        </w:tc>
        <w:tc>
          <w:tcPr>
            <w:tcW w:type="dxa" w:w="22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1.24</w:t>
            </w:r>
          </w:p>
        </w:tc>
        <w:tc>
          <w:tcPr>
            <w:tcW w:type="dxa" w:w="22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0.54</w:t>
            </w:r>
          </w:p>
        </w:tc>
        <w:tc>
          <w:tcPr>
            <w:tcW w:type="dxa" w:w="22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0.51</w:t>
            </w:r>
          </w:p>
        </w:tc>
      </w:tr>
      <w:tr>
        <w:tc>
          <w:tcPr>
            <w:tcW w:type="dxa" w:w="25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最大回撤</w:t>
            </w:r>
          </w:p>
        </w:tc>
        <w:tc>
          <w:tcPr>
            <w:tcW w:type="dxa" w:w="2286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-5.89%</w:t>
            </w:r>
          </w:p>
        </w:tc>
        <w:tc>
          <w:tcPr>
            <w:tcW w:type="dxa" w:w="2287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-9.10%</w:t>
            </w:r>
          </w:p>
        </w:tc>
        <w:tc>
          <w:tcPr>
            <w:tcW w:type="dxa" w:w="2287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-6.15%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Noto Sans SC"/>
          <w:color w:val="18212B"/>
          <w:sz w:val="21"/>
        </w:rPr>
        <w:t>优化策略相对严格旧参数基线累计收益提高13.37个百分点，同时最大回撤从-9.10%收窄到-5.89%。三条曲线均由各自真实月收益连续复利得到，不使用期末指标倒推过程数据。</w:t>
      </w:r>
    </w:p>
    <w:p>
      <w:pPr>
        <w:pStyle w:val="Heading2"/>
      </w:pPr>
      <w:r>
        <w:t>6.3 收益暴跌的根因与修复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D7E1E8"/>
          <w:left w:val="single" w:sz="6" w:color="D7E1E8"/>
          <w:bottom w:val="single" w:sz="6" w:color="D7E1E8"/>
          <w:right w:val="single" w:sz="6" w:color="D7E1E8"/>
          <w:insideH w:val="single" w:sz="6" w:color="D7E1E8"/>
          <w:insideV w:val="single" w:sz="6" w:color="D7E1E8"/>
        </w:tblBorders>
      </w:tblPr>
      <w:tblGrid>
        <w:gridCol w:w="1700"/>
        <w:gridCol w:w="1300"/>
        <w:gridCol w:w="4300"/>
        <w:gridCol w:w="2060"/>
      </w:tblGrid>
      <w:tr>
        <w:trPr>
          <w:tblHeader w:val="true"/>
        </w:trPr>
        <w:tc>
          <w:tcPr>
            <w:tcW w:type="dxa" w:w="170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7"/>
              </w:rPr>
              <w:t>阶段</w:t>
            </w:r>
          </w:p>
        </w:tc>
        <w:tc>
          <w:tcPr>
            <w:tcW w:type="dxa" w:w="130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7"/>
              </w:rPr>
              <w:t>显示结果</w:t>
            </w:r>
          </w:p>
        </w:tc>
        <w:tc>
          <w:tcPr>
            <w:tcW w:type="dxa" w:w="430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7"/>
              </w:rPr>
              <w:t>主要问题</w:t>
            </w:r>
          </w:p>
        </w:tc>
        <w:tc>
          <w:tcPr>
            <w:tcW w:type="dxa" w:w="206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7"/>
              </w:rPr>
              <w:t>结论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旧高收益版本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约29.51%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10只股票先裁剪至5%，随后整体归一化又回到约10%；风控上限实际失效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不应作为有效风控下可信基线</w:t>
            </w:r>
          </w:p>
        </w:tc>
      </w:tr>
      <w:tr>
        <w:tc>
          <w:tcPr>
            <w:tcW w:type="dxa" w:w="17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严格修复初版</w:t>
            </w:r>
          </w:p>
        </w:tc>
        <w:tc>
          <w:tcPr>
            <w:tcW w:type="dxa" w:w="13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约1.43%</w:t>
            </w:r>
          </w:p>
        </w:tc>
        <w:tc>
          <w:tcPr>
            <w:tcW w:type="dxa" w:w="43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10只×5%使总股票容量最多50%；另有首月缺失、候选稀疏和固定扣费</w:t>
            </w:r>
          </w:p>
        </w:tc>
        <w:tc>
          <w:tcPr>
            <w:tcW w:type="dxa" w:w="206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收益被多重实现问题压低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当前v7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22.67%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10%单股上限、4行业、联合排序、120日预热、实际换手成本</w:t>
            </w:r>
          </w:p>
        </w:tc>
        <w:tc>
          <w:tcPr>
            <w:tcW w:type="dxa" w:w="2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当前可复现主结果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Noto Sans SC"/>
          <w:color w:val="18212B"/>
          <w:sz w:val="21"/>
        </w:rPr>
        <w:t>本次修复没有恢复错误归一化，也没有把高收益数字写死。核心做法是让约束参数与组合规模匹配，并修复行业规模偏差、个股/量化职责覆盖、首月预热、候选补足和成本口径。</w:t>
      </w:r>
    </w:p>
    <w:p>
      <w:pPr>
        <w:pStyle w:val="Heading2"/>
      </w:pPr>
      <w:r>
        <w:t>6.4 月度组合审计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806440" cy="3114363"/>
            <wp:docPr id="11" name="Picture 11" descr="12个月组合仓位换手和交易成本" title="图6-2  逐月仓位、换手率与交易成本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audi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1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Noto Sans SC"/>
          <w:color w:val="5F6B78"/>
          <w:sz w:val="18"/>
        </w:rPr>
        <w:t>图6-2  逐月仓位、换手率与交易成本</w:t>
      </w:r>
    </w:p>
    <w:p>
      <w:pPr>
        <w:keepLines w:val="0"/>
      </w:pPr>
      <w:r>
        <w:rPr>
          <w:rFonts w:ascii="Calibri" w:hAnsi="Calibri" w:eastAsia="Noto Sans SC"/>
          <w:color w:val="18212B"/>
          <w:sz w:val="21"/>
        </w:rPr>
        <w:t>12个月每月均持有10只股票，实际股票仓位为40%至100%，平均单边换手率约65.62%，模型累计交易成本约1.57%。低于100%的月份来自行业容量、集中度和弱趋势防御，而不是候选股票不足。</w:t>
      </w:r>
    </w:p>
    <w:p>
      <w:pPr>
        <w:pStyle w:val="Heading2"/>
      </w:pPr>
      <w:r>
        <w:t>6.5 跨区间稳健性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806440" cy="2375362"/>
            <wp:docPr id="12" name="Picture 12" descr="跨区间收益和超额收益柱状图" title="图6-3  四个市场区间的组合、基准与超额收益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robustnes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75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Noto Sans SC"/>
          <w:color w:val="5F6B78"/>
          <w:sz w:val="18"/>
        </w:rPr>
        <w:t>图6-3  四个市场区间的组合、基准与超额收益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D7E1E8"/>
          <w:left w:val="single" w:sz="6" w:color="D7E1E8"/>
          <w:bottom w:val="single" w:sz="6" w:color="D7E1E8"/>
          <w:right w:val="single" w:sz="6" w:color="D7E1E8"/>
          <w:insideH w:val="single" w:sz="6" w:color="D7E1E8"/>
          <w:insideV w:val="single" w:sz="6" w:color="D7E1E8"/>
        </w:tblBorders>
      </w:tblPr>
      <w:tblGrid>
        <w:gridCol w:w="2800"/>
        <w:gridCol w:w="2186"/>
        <w:gridCol w:w="2187"/>
        <w:gridCol w:w="2187"/>
      </w:tblGrid>
      <w:tr>
        <w:trPr>
          <w:tblHeader w:val="true"/>
        </w:trPr>
        <w:tc>
          <w:tcPr>
            <w:tcW w:type="dxa" w:w="280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区间</w:t>
            </w:r>
          </w:p>
        </w:tc>
        <w:tc>
          <w:tcPr>
            <w:tcW w:type="dxa" w:w="2186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优化组合</w:t>
            </w:r>
          </w:p>
        </w:tc>
        <w:tc>
          <w:tcPr>
            <w:tcW w:type="dxa" w:w="2187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沪深300</w:t>
            </w:r>
          </w:p>
        </w:tc>
        <w:tc>
          <w:tcPr>
            <w:tcW w:type="dxa" w:w="2187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超额收益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2022-07 至 2022-12</w:t>
            </w:r>
          </w:p>
        </w:tc>
        <w:tc>
          <w:tcPr>
            <w:tcW w:type="dxa" w:w="21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-13.52%</w:t>
            </w:r>
          </w:p>
        </w:tc>
        <w:tc>
          <w:tcPr>
            <w:tcW w:type="dxa" w:w="21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-13.68%</w:t>
            </w:r>
          </w:p>
        </w:tc>
        <w:tc>
          <w:tcPr>
            <w:tcW w:type="dxa" w:w="21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+0.15%</w:t>
            </w:r>
          </w:p>
        </w:tc>
      </w:tr>
      <w:tr>
        <w:tc>
          <w:tcPr>
            <w:tcW w:type="dxa" w:w="28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2023-01 至 2023-12</w:t>
            </w:r>
          </w:p>
        </w:tc>
        <w:tc>
          <w:tcPr>
            <w:tcW w:type="dxa" w:w="2186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-12.57%</w:t>
            </w:r>
          </w:p>
        </w:tc>
        <w:tc>
          <w:tcPr>
            <w:tcW w:type="dxa" w:w="2187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-11.38%</w:t>
            </w:r>
          </w:p>
        </w:tc>
        <w:tc>
          <w:tcPr>
            <w:tcW w:type="dxa" w:w="2187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-1.19%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2024-01 至 2024-06</w:t>
            </w:r>
          </w:p>
        </w:tc>
        <w:tc>
          <w:tcPr>
            <w:tcW w:type="dxa" w:w="21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-9.64%</w:t>
            </w:r>
          </w:p>
        </w:tc>
        <w:tc>
          <w:tcPr>
            <w:tcW w:type="dxa" w:w="21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+0.89%</w:t>
            </w:r>
          </w:p>
        </w:tc>
        <w:tc>
          <w:tcPr>
            <w:tcW w:type="dxa" w:w="21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-10.53%</w:t>
            </w:r>
          </w:p>
        </w:tc>
      </w:tr>
      <w:tr>
        <w:tc>
          <w:tcPr>
            <w:tcW w:type="dxa" w:w="28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2024-07 至 2025-06</w:t>
            </w:r>
          </w:p>
        </w:tc>
        <w:tc>
          <w:tcPr>
            <w:tcW w:type="dxa" w:w="2186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+22.67%</w:t>
            </w:r>
          </w:p>
        </w:tc>
        <w:tc>
          <w:tcPr>
            <w:tcW w:type="dxa" w:w="2187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+13.70%</w:t>
            </w:r>
          </w:p>
        </w:tc>
        <w:tc>
          <w:tcPr>
            <w:tcW w:type="dxa" w:w="2187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+8.96%</w:t>
            </w:r>
          </w:p>
        </w:tc>
      </w:tr>
    </w:tbl>
    <w:p>
      <w:pPr>
        <w:spacing w:after="20"/>
      </w:pPr>
    </w:p>
    <w:p>
      <w:pPr>
        <w:keepLines/>
        <w:spacing w:before="100" w:after="160"/>
        <w:ind w:left="202" w:right="115"/>
        <w:shd w:fill="FFF6DF"/>
        <w:pBdr>
          <w:left w:val="single" w:sz="18" w:color="D89B24"/>
        </w:pBdr>
      </w:pPr>
      <w:r>
        <w:rPr>
          <w:rFonts w:ascii="Calibri" w:hAnsi="Calibri" w:eastAsia="Noto Sans SC"/>
          <w:b/>
          <w:color w:val="0B2545"/>
          <w:sz w:val="21"/>
        </w:rPr>
        <w:t xml:space="preserve">结论边界  </w:t>
      </w:r>
      <w:r>
        <w:rPr>
          <w:rFonts w:ascii="Calibri" w:hAnsi="Calibri" w:eastAsia="Noto Sans SC"/>
          <w:color w:val="18212B"/>
          <w:sz w:val="21"/>
        </w:rPr>
        <w:t>四个区间中只有两个取得正超额，2024年上半年明显跑输。路演区间说明当前方法能够在特定市场状态下取得较好表现，但不能证明策略在所有时期稳定跑赢。</w:t>
      </w:r>
    </w:p>
    <w:p>
      <w:pPr>
        <w:pStyle w:val="Heading2"/>
      </w:pPr>
      <w:r>
        <w:t>6.6 角色贡献结果</w:t>
      </w:r>
    </w:p>
    <w:p>
      <w:pPr>
        <w:keepLines w:val="0"/>
      </w:pPr>
      <w:r>
        <w:rPr>
          <w:rFonts w:ascii="Calibri" w:hAnsi="Calibri" w:eastAsia="Noto Sans SC"/>
          <w:color w:val="18212B"/>
          <w:sz w:val="21"/>
        </w:rPr>
        <w:t>主实验中，行业分析师贡献+19.23%，策略分析师贡献+2.98%；个股、量化和风控分别为-5.26%、-6.87%和-1.12%。五项合计+8.96%，与组合超额收益一致。角色贡献随市场阶段变化是正常现象，负贡献应进入复盘和敏感性分析，而不是被隐藏。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806440" cy="2428148"/>
            <wp:docPr id="13" name="Picture 13" descr="主实验五角色贡献与证据轨权重" title="图6-4  主实验角色Shapley贡献与证据轨权重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rol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28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Noto Sans SC"/>
          <w:color w:val="5F6B78"/>
          <w:sz w:val="18"/>
        </w:rPr>
        <w:t>图6-4  主实验角色Shapley贡献与证据轨权重</w:t>
      </w:r>
    </w:p>
    <w:p>
      <w:pPr>
        <w:pStyle w:val="Heading2"/>
      </w:pPr>
      <w:r>
        <w:t>6.7 工程验证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806440" cy="1847504"/>
            <wp:docPr id="14" name="Picture 14" descr="AlphaSplit验证证据链" title="图6-5  从单元测试到浏览器验收的验证链路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validat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47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Noto Sans SC"/>
          <w:color w:val="5F6B78"/>
          <w:sz w:val="18"/>
        </w:rPr>
        <w:t>图6-5  从单元测试到浏览器验收的验证链路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D7E1E8"/>
          <w:left w:val="single" w:sz="6" w:color="D7E1E8"/>
          <w:bottom w:val="single" w:sz="6" w:color="D7E1E8"/>
          <w:right w:val="single" w:sz="6" w:color="D7E1E8"/>
          <w:insideH w:val="single" w:sz="6" w:color="D7E1E8"/>
          <w:insideV w:val="single" w:sz="6" w:color="D7E1E8"/>
        </w:tblBorders>
      </w:tblPr>
      <w:tblGrid>
        <w:gridCol w:w="1900"/>
        <w:gridCol w:w="2100"/>
        <w:gridCol w:w="5360"/>
      </w:tblGrid>
      <w:tr>
        <w:trPr>
          <w:tblHeader w:val="true"/>
        </w:trPr>
        <w:tc>
          <w:tcPr>
            <w:tcW w:type="dxa" w:w="190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验证层</w:t>
            </w:r>
          </w:p>
        </w:tc>
        <w:tc>
          <w:tcPr>
            <w:tcW w:type="dxa" w:w="210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536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覆盖重点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Python自动化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97项全部通过</w:t>
            </w:r>
          </w:p>
        </w:tc>
        <w:tc>
          <w:tcPr>
            <w:tcW w:type="dxa" w:w="5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因子配置、风控投影、换手成本、Agent、API、产品文案</w:t>
            </w:r>
          </w:p>
        </w:tc>
      </w:tr>
      <w:tr>
        <w:tc>
          <w:tcPr>
            <w:tcW w:type="dxa" w:w="19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前端静态</w:t>
            </w:r>
          </w:p>
        </w:tc>
        <w:tc>
          <w:tcPr>
            <w:tcW w:type="dxa" w:w="21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node --check通过</w:t>
            </w:r>
          </w:p>
        </w:tc>
        <w:tc>
          <w:tcPr>
            <w:tcW w:type="dxa" w:w="536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JavaScript语法；资源引用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补丁质量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git diff --check通过</w:t>
            </w:r>
          </w:p>
        </w:tc>
        <w:tc>
          <w:tcPr>
            <w:tcW w:type="dxa" w:w="5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无补丁格式错误</w:t>
            </w:r>
          </w:p>
        </w:tc>
      </w:tr>
      <w:tr>
        <w:tc>
          <w:tcPr>
            <w:tcW w:type="dxa" w:w="19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完整金融运行</w:t>
            </w:r>
          </w:p>
        </w:tc>
        <w:tc>
          <w:tcPr>
            <w:tcW w:type="dxa" w:w="21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两次32联盟成功</w:t>
            </w:r>
          </w:p>
        </w:tc>
        <w:tc>
          <w:tcPr>
            <w:tcW w:type="dxa" w:w="536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优化策略与严格旧参数基线；可加性通过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跨区间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四个窗口完成</w:t>
            </w:r>
          </w:p>
        </w:tc>
        <w:tc>
          <w:tcPr>
            <w:tcW w:type="dxa" w:w="5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正负收益和正负超额均保留</w:t>
            </w:r>
          </w:p>
        </w:tc>
      </w:tr>
      <w:tr>
        <w:tc>
          <w:tcPr>
            <w:tcW w:type="dxa" w:w="19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浏览器验收</w:t>
            </w:r>
          </w:p>
        </w:tc>
        <w:tc>
          <w:tcPr>
            <w:tcW w:type="dxa" w:w="21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通过</w:t>
            </w:r>
          </w:p>
        </w:tc>
        <w:tc>
          <w:tcPr>
            <w:tcW w:type="dxa" w:w="536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默认日期、22.67%、9.30%、13.70%及三条曲线</w:t>
            </w:r>
          </w:p>
        </w:tc>
      </w:tr>
    </w:tbl>
    <w:p>
      <w:pPr>
        <w:spacing w:after="20"/>
      </w:pPr>
    </w:p>
    <w:p>
      <w:pPr>
        <w:pStyle w:val="Heading2"/>
      </w:pPr>
      <w:r>
        <w:t>6.8 局限与下一步</w:t>
      </w:r>
    </w:p>
    <w:p>
      <w:pPr>
        <w:numPr>
          <w:ilvl w:val="0"/>
          <w:numId w:val="10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角色因子仍是岗位决策代理，需要机构脱敏决策日志进行校准。</w:t>
      </w:r>
    </w:p>
    <w:p>
      <w:pPr>
        <w:numPr>
          <w:ilvl w:val="0"/>
          <w:numId w:val="10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当前股票多头和HS300基准适用范围有限，应扩展多资产与其他基准。</w:t>
      </w:r>
    </w:p>
    <w:p>
      <w:pPr>
        <w:numPr>
          <w:ilvl w:val="0"/>
          <w:numId w:val="10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完整Shapley随角色数指数增长，角色扩展后需报告近似误差与排序稳定性。</w:t>
      </w:r>
    </w:p>
    <w:p>
      <w:pPr>
        <w:numPr>
          <w:ilvl w:val="0"/>
          <w:numId w:val="10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客户专属配置需做滚动窗口、样本外和压力场景验证，不能只看单一区间。</w:t>
      </w:r>
    </w:p>
    <w:p>
      <w:pPr>
        <w:numPr>
          <w:ilvl w:val="0"/>
          <w:numId w:val="10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实时回测仍是同步长任务，后续应增加任务队列、取消、超时和进度持久化。</w:t>
      </w:r>
    </w:p>
    <w:p>
      <w:pPr>
        <w:numPr>
          <w:ilvl w:val="0"/>
          <w:numId w:val="10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前端应继续增加端到端自动化回归，确保按钮链路、状态恢复和移动端布局长期稳定。</w:t>
      </w:r>
    </w:p>
    <w:p>
      <w:r>
        <w:br w:type="page"/>
      </w:r>
    </w:p>
    <w:p>
      <w:pPr>
        <w:spacing w:before="160" w:after="80"/>
      </w:pPr>
      <w:r>
        <w:rPr>
          <w:rFonts w:ascii="Calibri" w:hAnsi="Calibri" w:eastAsia="Noto Sans SC"/>
          <w:b/>
          <w:color w:val="16B8C8"/>
          <w:sz w:val="18"/>
        </w:rPr>
        <w:t>APPENDIX A</w:t>
      </w:r>
    </w:p>
    <w:p>
      <w:pPr>
        <w:pStyle w:val="Heading1"/>
        <w:spacing w:before="0"/>
      </w:pPr>
      <w:r>
        <w:rPr>
          <w:rFonts w:ascii="Calibri" w:hAnsi="Calibri" w:eastAsia="Noto Sans SC"/>
          <w:b/>
          <w:color w:val="0B2545"/>
          <w:sz w:val="42"/>
        </w:rPr>
        <w:t>附录A  关键接口与数据契约</w:t>
      </w:r>
    </w:p>
    <w:p>
      <w:pPr>
        <w:keepLines/>
        <w:spacing w:before="100" w:after="160"/>
        <w:ind w:left="202" w:right="115"/>
        <w:shd w:fill="E8F2F7"/>
        <w:pBdr>
          <w:left w:val="single" w:sz="18" w:color="2457A6"/>
        </w:pBdr>
      </w:pPr>
      <w:r>
        <w:rPr>
          <w:rFonts w:ascii="Calibri" w:hAnsi="Calibri" w:eastAsia="Noto Sans SC"/>
          <w:b/>
          <w:color w:val="0B2545"/>
          <w:sz w:val="21"/>
        </w:rPr>
        <w:t xml:space="preserve">本章要点  </w:t>
      </w:r>
      <w:r>
        <w:rPr>
          <w:rFonts w:ascii="Calibri" w:hAnsi="Calibri" w:eastAsia="Noto Sans SC"/>
          <w:color w:val="18212B"/>
          <w:sz w:val="21"/>
        </w:rPr>
        <w:t>接口按规划、配置、回测、解释、角色陈述和评审确认分层；所有写入回测的配置必须经过结构化模型与白名单校验。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D7E1E8"/>
          <w:left w:val="single" w:sz="6" w:color="D7E1E8"/>
          <w:bottom w:val="single" w:sz="6" w:color="D7E1E8"/>
          <w:right w:val="single" w:sz="6" w:color="D7E1E8"/>
          <w:insideH w:val="single" w:sz="6" w:color="D7E1E8"/>
          <w:insideV w:val="single" w:sz="6" w:color="D7E1E8"/>
        </w:tblBorders>
      </w:tblPr>
      <w:tblGrid>
        <w:gridCol w:w="3000"/>
        <w:gridCol w:w="3300"/>
        <w:gridCol w:w="3060"/>
      </w:tblGrid>
      <w:tr>
        <w:trPr>
          <w:tblHeader w:val="true"/>
        </w:trPr>
        <w:tc>
          <w:tcPr>
            <w:tcW w:type="dxa" w:w="300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7"/>
              </w:rPr>
              <w:t>接口</w:t>
            </w:r>
          </w:p>
        </w:tc>
        <w:tc>
          <w:tcPr>
            <w:tcW w:type="dxa" w:w="330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7"/>
              </w:rPr>
              <w:t>作用</w:t>
            </w:r>
          </w:p>
        </w:tc>
        <w:tc>
          <w:tcPr>
            <w:tcW w:type="dxa" w:w="306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7"/>
              </w:rPr>
              <w:t>关键输出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GET /api/health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服务、模式和引擎可用性检查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status、mode、version</w:t>
            </w:r>
          </w:p>
        </w:tc>
      </w:tr>
      <w:tr>
        <w:tc>
          <w:tcPr>
            <w:tcW w:type="dxa" w:w="30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GET /api/agent/factor-config</w:t>
            </w:r>
          </w:p>
        </w:tc>
        <w:tc>
          <w:tcPr>
            <w:tcW w:type="dxa" w:w="33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返回五角色、40因子和默认配置</w:t>
            </w:r>
          </w:p>
        </w:tc>
        <w:tc>
          <w:tcPr>
            <w:tcW w:type="dxa" w:w="306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roles、default_config、agent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POST /api/agent/factor-config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生成受约束配置变更预览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changes、config、source、audit</w:t>
            </w:r>
          </w:p>
        </w:tc>
      </w:tr>
      <w:tr>
        <w:tc>
          <w:tcPr>
            <w:tcW w:type="dxa" w:w="30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POST /api/agent/plan</w:t>
            </w:r>
          </w:p>
        </w:tc>
        <w:tc>
          <w:tcPr>
            <w:tcW w:type="dxa" w:w="33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自然语言/预设转结构化回测计划</w:t>
            </w:r>
          </w:p>
        </w:tc>
        <w:tc>
          <w:tcPr>
            <w:tcW w:type="dxa" w:w="306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query、summary、warnings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POST /api/agent/interpret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基于证据白名单解释回测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summary、evidence_refs</w:t>
            </w:r>
          </w:p>
        </w:tc>
      </w:tr>
      <w:tr>
        <w:tc>
          <w:tcPr>
            <w:tcW w:type="dxa" w:w="30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POST /api/agent/pipeline</w:t>
            </w:r>
          </w:p>
        </w:tc>
        <w:tc>
          <w:tcPr>
            <w:tcW w:type="dxa" w:w="33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串联规划、回测和解释</w:t>
            </w:r>
          </w:p>
        </w:tc>
        <w:tc>
          <w:tcPr>
            <w:tcW w:type="dxa" w:w="306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plan、backtest、interpretation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POST /api/backtest/run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运行已确认配置的完整回测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overview、role_breakdown、diagnostics</w:t>
            </w:r>
          </w:p>
        </w:tc>
      </w:tr>
      <w:tr>
        <w:tc>
          <w:tcPr>
            <w:tcW w:type="dxa" w:w="30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GET /api/backtest/demo</w:t>
            </w:r>
          </w:p>
        </w:tc>
        <w:tc>
          <w:tcPr>
            <w:tcW w:type="dxa" w:w="33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返回真实预跑官方演示包</w:t>
            </w:r>
          </w:p>
        </w:tc>
        <w:tc>
          <w:tcPr>
            <w:tcW w:type="dxa" w:w="306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comparison、results、source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POST /api/negotiate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生成角色贡献陈述与6:4评审建议（接口名兼容保留）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claims、proposal、status</w:t>
            </w:r>
          </w:p>
        </w:tc>
      </w:tr>
      <w:tr>
        <w:tc>
          <w:tcPr>
            <w:tcW w:type="dxa" w:w="30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POST /api/confirm</w:t>
            </w:r>
          </w:p>
        </w:tc>
        <w:tc>
          <w:tcPr>
            <w:tcW w:type="dxa" w:w="33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评审委员会确认最终分配决定</w:t>
            </w:r>
          </w:p>
        </w:tc>
        <w:tc>
          <w:tcPr>
            <w:tcW w:type="dxa" w:w="306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6"/>
              </w:rPr>
              <w:t>confirmed、audit_record</w:t>
            </w:r>
          </w:p>
        </w:tc>
      </w:tr>
    </w:tbl>
    <w:p>
      <w:pPr>
        <w:spacing w:after="20"/>
      </w:pPr>
    </w:p>
    <w:p>
      <w:pPr>
        <w:pStyle w:val="Heading2"/>
      </w:pPr>
      <w:r>
        <w:t>A.1 核心回测结果字段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D7E1E8"/>
          <w:left w:val="single" w:sz="6" w:color="D7E1E8"/>
          <w:bottom w:val="single" w:sz="6" w:color="D7E1E8"/>
          <w:right w:val="single" w:sz="6" w:color="D7E1E8"/>
          <w:insideH w:val="single" w:sz="6" w:color="D7E1E8"/>
          <w:insideV w:val="single" w:sz="6" w:color="D7E1E8"/>
        </w:tblBorders>
      </w:tblPr>
      <w:tblGrid>
        <w:gridCol w:w="2500"/>
        <w:gridCol w:w="4300"/>
        <w:gridCol w:w="2560"/>
      </w:tblGrid>
      <w:tr>
        <w:trPr>
          <w:tblHeader w:val="true"/>
        </w:trPr>
        <w:tc>
          <w:tcPr>
            <w:tcW w:type="dxa" w:w="250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430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定义</w:t>
            </w:r>
          </w:p>
        </w:tc>
        <w:tc>
          <w:tcPr>
            <w:tcW w:type="dxa" w:w="256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当前主实验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total_return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组合月收益连续复利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0.226659</w:t>
            </w:r>
          </w:p>
        </w:tc>
      </w:tr>
      <w:tr>
        <w:tc>
          <w:tcPr>
            <w:tcW w:type="dxa" w:w="25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benchmark_return</w:t>
            </w:r>
          </w:p>
        </w:tc>
        <w:tc>
          <w:tcPr>
            <w:tcW w:type="dxa" w:w="43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同期HS300月收益连续复利</w:t>
            </w:r>
          </w:p>
        </w:tc>
        <w:tc>
          <w:tcPr>
            <w:tcW w:type="dxa" w:w="256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0.137050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excess_return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组合累计收益 - 基准累计收益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0.089610</w:t>
            </w:r>
          </w:p>
        </w:tc>
      </w:tr>
      <w:tr>
        <w:tc>
          <w:tcPr>
            <w:tcW w:type="dxa" w:w="25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sharpe_ratio</w:t>
            </w:r>
          </w:p>
        </w:tc>
        <w:tc>
          <w:tcPr>
            <w:tcW w:type="dxa" w:w="43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月收益风险调整后的年化指标</w:t>
            </w:r>
          </w:p>
        </w:tc>
        <w:tc>
          <w:tcPr>
            <w:tcW w:type="dxa" w:w="256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1.235432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max_drawdown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累计净值相对历史高点的最大跌幅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-0.058943</w:t>
            </w:r>
          </w:p>
        </w:tc>
      </w:tr>
      <w:tr>
        <w:tc>
          <w:tcPr>
            <w:tcW w:type="dxa" w:w="25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shapley_raw</w:t>
            </w:r>
          </w:p>
        </w:tc>
        <w:tc>
          <w:tcPr>
            <w:tcW w:type="dxa" w:w="43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角色对超额收益的带符号平均边际贡献</w:t>
            </w:r>
          </w:p>
        </w:tc>
        <w:tc>
          <w:tcPr>
            <w:tcW w:type="dxa" w:w="256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五角色合计0.089610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weight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仅正贡献、单角色50%上限后的证据轨权重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行业50%；策略50%</w:t>
            </w:r>
          </w:p>
        </w:tc>
      </w:tr>
    </w:tbl>
    <w:p>
      <w:pPr>
        <w:spacing w:after="20"/>
      </w:pPr>
    </w:p>
    <w:p>
      <w:pPr>
        <w:pStyle w:val="Heading2"/>
      </w:pPr>
      <w:r>
        <w:t>A.2 默认模块参数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D7E1E8"/>
          <w:left w:val="single" w:sz="6" w:color="D7E1E8"/>
          <w:bottom w:val="single" w:sz="6" w:color="D7E1E8"/>
          <w:right w:val="single" w:sz="6" w:color="D7E1E8"/>
          <w:insideH w:val="single" w:sz="6" w:color="D7E1E8"/>
          <w:insideV w:val="single" w:sz="6" w:color="D7E1E8"/>
        </w:tblBorders>
      </w:tblPr>
      <w:tblGrid>
        <w:gridCol w:w="1800"/>
        <w:gridCol w:w="2800"/>
        <w:gridCol w:w="1800"/>
        <w:gridCol w:w="2960"/>
      </w:tblGrid>
      <w:tr>
        <w:trPr>
          <w:tblHeader w:val="true"/>
        </w:trPr>
        <w:tc>
          <w:tcPr>
            <w:tcW w:type="dxa" w:w="180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280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180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默认值</w:t>
            </w:r>
          </w:p>
        </w:tc>
        <w:tc>
          <w:tcPr>
            <w:tcW w:type="dxa" w:w="296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Noto Sans SC"/>
                <w:b/>
                <w:color w:val="FFFFFF"/>
                <w:sz w:val="18"/>
              </w:rPr>
              <w:t>允许范围/说明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行业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top_industries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4</w:t>
            </w:r>
          </w:p>
        </w:tc>
        <w:tc>
          <w:tcPr>
            <w:tcW w:type="dxa" w:w="2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2至6</w:t>
            </w:r>
          </w:p>
        </w:tc>
      </w:tr>
      <w:tr>
        <w:tc>
          <w:tcPr>
            <w:tcW w:type="dxa" w:w="18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策略</w:t>
            </w:r>
          </w:p>
        </w:tc>
        <w:tc>
          <w:tcPr>
            <w:tcW w:type="dxa" w:w="28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target_vol</w:t>
            </w:r>
          </w:p>
        </w:tc>
        <w:tc>
          <w:tcPr>
            <w:tcW w:type="dxa" w:w="18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0.15</w:t>
            </w:r>
          </w:p>
        </w:tc>
        <w:tc>
          <w:tcPr>
            <w:tcW w:type="dxa" w:w="296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0.05至0.30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策略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lookback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20</w:t>
            </w:r>
          </w:p>
        </w:tc>
        <w:tc>
          <w:tcPr>
            <w:tcW w:type="dxa" w:w="2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10至60个交易日</w:t>
            </w:r>
          </w:p>
        </w:tc>
      </w:tr>
      <w:tr>
        <w:tc>
          <w:tcPr>
            <w:tcW w:type="dxa" w:w="18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策略</w:t>
            </w:r>
          </w:p>
        </w:tc>
        <w:tc>
          <w:tcPr>
            <w:tcW w:type="dxa" w:w="28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defensive_position_cap</w:t>
            </w:r>
          </w:p>
        </w:tc>
        <w:tc>
          <w:tcPr>
            <w:tcW w:type="dxa" w:w="18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0.50</w:t>
            </w:r>
          </w:p>
        </w:tc>
        <w:tc>
          <w:tcPr>
            <w:tcW w:type="dxa" w:w="296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0.20至1.00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风控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max_single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0.10</w:t>
            </w:r>
          </w:p>
        </w:tc>
        <w:tc>
          <w:tcPr>
            <w:tcW w:type="dxa" w:w="2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0.01至0.20</w:t>
            </w:r>
          </w:p>
        </w:tc>
      </w:tr>
      <w:tr>
        <w:tc>
          <w:tcPr>
            <w:tcW w:type="dxa" w:w="18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风控</w:t>
            </w:r>
          </w:p>
        </w:tc>
        <w:tc>
          <w:tcPr>
            <w:tcW w:type="dxa" w:w="28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max_industry</w:t>
            </w:r>
          </w:p>
        </w:tc>
        <w:tc>
          <w:tcPr>
            <w:tcW w:type="dxa" w:w="180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0.30</w:t>
            </w:r>
          </w:p>
        </w:tc>
        <w:tc>
          <w:tcPr>
            <w:tcW w:type="dxa" w:w="2960"/>
            <w:vAlign w:val="center"/>
            <w:shd w:fill="F3F7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0.10至0.60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风控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stop_loss_monthly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-0.05</w:t>
            </w:r>
          </w:p>
        </w:tc>
        <w:tc>
          <w:tcPr>
            <w:tcW w:type="dxa" w:w="2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Noto Sans SC"/>
                <w:color w:val="18212B"/>
                <w:sz w:val="17"/>
              </w:rPr>
              <w:t>-0.30至-0.01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before="160" w:after="80"/>
      </w:pPr>
      <w:r>
        <w:rPr>
          <w:rFonts w:ascii="Calibri" w:hAnsi="Calibri" w:eastAsia="Noto Sans SC"/>
          <w:b/>
          <w:color w:val="16B8C8"/>
          <w:sz w:val="18"/>
        </w:rPr>
        <w:t>APPENDIX B</w:t>
      </w:r>
    </w:p>
    <w:p>
      <w:pPr>
        <w:pStyle w:val="Heading1"/>
        <w:spacing w:before="0"/>
      </w:pPr>
      <w:r>
        <w:rPr>
          <w:rFonts w:ascii="Calibri" w:hAnsi="Calibri" w:eastAsia="Noto Sans SC"/>
          <w:b/>
          <w:color w:val="0B2545"/>
          <w:sz w:val="42"/>
        </w:rPr>
        <w:t>附录B  复现、测试与运行说明</w:t>
      </w:r>
    </w:p>
    <w:p>
      <w:pPr>
        <w:keepLines/>
        <w:spacing w:before="100" w:after="160"/>
        <w:ind w:left="202" w:right="115"/>
        <w:shd w:fill="E8F2F7"/>
        <w:pBdr>
          <w:left w:val="single" w:sz="18" w:color="2457A6"/>
        </w:pBdr>
      </w:pPr>
      <w:r>
        <w:rPr>
          <w:rFonts w:ascii="Calibri" w:hAnsi="Calibri" w:eastAsia="Noto Sans SC"/>
          <w:b/>
          <w:color w:val="0B2545"/>
          <w:sz w:val="21"/>
        </w:rPr>
        <w:t xml:space="preserve">本章要点  </w:t>
      </w:r>
      <w:r>
        <w:rPr>
          <w:rFonts w:ascii="Calibri" w:hAnsi="Calibri" w:eastAsia="Noto Sans SC"/>
          <w:color w:val="18212B"/>
          <w:sz w:val="21"/>
        </w:rPr>
        <w:t>所有命令均在项目根目录执行。正式路演使用真实预跑演示包；实时回测须先重启服务以加载当前Python代码。</w:t>
      </w:r>
    </w:p>
    <w:p>
      <w:pPr>
        <w:pStyle w:val="Heading2"/>
      </w:pPr>
      <w:r>
        <w:t>B.1 前台启动</w:t>
      </w:r>
    </w:p>
    <w:p>
      <w:pPr>
        <w:keepLines/>
        <w:spacing w:before="100" w:after="160"/>
        <w:ind w:left="202" w:right="115"/>
        <w:shd w:fill="F3F7FA"/>
        <w:pBdr>
          <w:left w:val="single" w:sz="18" w:color="2457A6"/>
        </w:pBdr>
      </w:pPr>
      <w:r>
        <w:rPr>
          <w:rFonts w:ascii="Calibri" w:hAnsi="Calibri" w:eastAsia="Noto Sans SC"/>
          <w:b/>
          <w:color w:val="0B2545"/>
          <w:sz w:val="21"/>
        </w:rPr>
        <w:t xml:space="preserve">PowerShell  </w:t>
      </w:r>
      <w:r>
        <w:rPr>
          <w:rFonts w:ascii="Calibri" w:hAnsi="Calibri" w:eastAsia="Noto Sans SC"/>
          <w:color w:val="18212B"/>
          <w:sz w:val="21"/>
        </w:rPr>
        <w:t>cd F:\wills\competitions\AlphaSplit</w:t>
        <w:br/>
        <w:t>.\venv\Scripts\Activate.ps1</w:t>
        <w:br/>
        <w:t>python -m engine.api.main --mode mock --host 127.0.0.1 --port 8000</w:t>
      </w:r>
    </w:p>
    <w:p>
      <w:pPr>
        <w:pStyle w:val="Heading2"/>
      </w:pPr>
      <w:r>
        <w:t>B.2 自动化测试</w:t>
      </w:r>
    </w:p>
    <w:p>
      <w:pPr>
        <w:keepLines/>
        <w:spacing w:before="100" w:after="160"/>
        <w:ind w:left="202" w:right="115"/>
        <w:shd w:fill="F3F7FA"/>
        <w:pBdr>
          <w:left w:val="single" w:sz="18" w:color="2E8B72"/>
        </w:pBdr>
      </w:pPr>
      <w:r>
        <w:rPr>
          <w:rFonts w:ascii="Calibri" w:hAnsi="Calibri" w:eastAsia="Noto Sans SC"/>
          <w:b/>
          <w:color w:val="0B2545"/>
          <w:sz w:val="21"/>
        </w:rPr>
        <w:t xml:space="preserve">PowerShell  </w:t>
      </w:r>
      <w:r>
        <w:rPr>
          <w:rFonts w:ascii="Calibri" w:hAnsi="Calibri" w:eastAsia="Noto Sans SC"/>
          <w:color w:val="18212B"/>
          <w:sz w:val="21"/>
        </w:rPr>
        <w:t>python -m unittest discover -s tests -v</w:t>
        <w:br/>
        <w:t>node --check engine/web/app.js</w:t>
        <w:br/>
        <w:t>git diff --check</w:t>
      </w:r>
    </w:p>
    <w:p>
      <w:pPr>
        <w:pStyle w:val="Heading2"/>
      </w:pPr>
      <w:r>
        <w:t>B.3 策略诊断与演示包</w:t>
      </w:r>
    </w:p>
    <w:p>
      <w:pPr>
        <w:keepLines/>
        <w:spacing w:before="100" w:after="160"/>
        <w:ind w:left="202" w:right="115"/>
        <w:shd w:fill="F3F7FA"/>
        <w:pBdr>
          <w:left w:val="single" w:sz="18" w:color="D89B24"/>
        </w:pBdr>
      </w:pPr>
      <w:r>
        <w:rPr>
          <w:rFonts w:ascii="Calibri" w:hAnsi="Calibri" w:eastAsia="Noto Sans SC"/>
          <w:b/>
          <w:color w:val="0B2545"/>
          <w:sz w:val="21"/>
        </w:rPr>
        <w:t xml:space="preserve">PowerShell  </w:t>
      </w:r>
      <w:r>
        <w:rPr>
          <w:rFonts w:ascii="Calibri" w:hAnsi="Calibri" w:eastAsia="Noto Sans SC"/>
          <w:color w:val="18212B"/>
          <w:sz w:val="21"/>
        </w:rPr>
        <w:t>python scripts/evaluate_backtest_strategy.py</w:t>
        <w:br/>
        <w:t>python scripts/gen_backtest_demo.py</w:t>
      </w:r>
    </w:p>
    <w:p>
      <w:pPr>
        <w:keepLines w:val="0"/>
      </w:pPr>
      <w:r>
        <w:rPr>
          <w:rFonts w:ascii="Calibri" w:hAnsi="Calibri" w:eastAsia="Noto Sans SC"/>
          <w:color w:val="18212B"/>
          <w:sz w:val="21"/>
        </w:rPr>
        <w:t>演示包engine/web/demo/backtest_demo.json同时保存优化策略、严格旧参数基线和HS300的月度路径，并记录customer_request_id、default_request_id、config_id与same_scope。前端应标注“真实预跑结果回放”，避免与实时临时配置混淆。</w:t>
      </w:r>
    </w:p>
    <w:p>
      <w:pPr>
        <w:pStyle w:val="Heading2"/>
      </w:pPr>
      <w:r>
        <w:t>B.4 路演推荐顺序</w:t>
      </w:r>
    </w:p>
    <w:p>
      <w:pPr>
        <w:numPr>
          <w:ilvl w:val="0"/>
          <w:numId w:val="11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展示四步主线并说明Agent不直接生成金融数值。</w:t>
      </w:r>
    </w:p>
    <w:p>
      <w:pPr>
        <w:numPr>
          <w:ilvl w:val="0"/>
          <w:numId w:val="11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保留默认偏好，生成配置建议，展示调整前后和人工确认门槛。</w:t>
      </w:r>
    </w:p>
    <w:p>
      <w:pPr>
        <w:numPr>
          <w:ilvl w:val="0"/>
          <w:numId w:val="11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选择预制数据快速体验，展示优化策略、严格基线和HS300三条曲线。</w:t>
      </w:r>
    </w:p>
    <w:p>
      <w:pPr>
        <w:numPr>
          <w:ilvl w:val="0"/>
          <w:numId w:val="11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点击指标依据，解释累计收益、超额、夏普、回撤和Shapley来源。</w:t>
      </w:r>
    </w:p>
    <w:p>
      <w:pPr>
        <w:numPr>
          <w:ilvl w:val="0"/>
          <w:numId w:val="11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进入应用建议，明确制度轨60%、证据轨40%和最终合成比例。</w:t>
      </w:r>
    </w:p>
    <w:p>
      <w:pPr>
        <w:numPr>
          <w:ilvl w:val="0"/>
          <w:numId w:val="11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进入贡献评审：角色陈述仅供参考，6:4建议不受其影响，最后由评审委员会独立确认。</w:t>
      </w:r>
    </w:p>
    <w:p>
      <w:r>
        <w:br w:type="page"/>
      </w:r>
    </w:p>
    <w:p>
      <w:pPr>
        <w:spacing w:before="160" w:after="80"/>
      </w:pPr>
      <w:r>
        <w:rPr>
          <w:rFonts w:ascii="Calibri" w:hAnsi="Calibri" w:eastAsia="Noto Sans SC"/>
          <w:b/>
          <w:color w:val="16B8C8"/>
          <w:sz w:val="18"/>
        </w:rPr>
        <w:t>REFERENCES</w:t>
      </w:r>
    </w:p>
    <w:p>
      <w:pPr>
        <w:pStyle w:val="Heading1"/>
        <w:spacing w:before="0"/>
      </w:pPr>
      <w:r>
        <w:rPr>
          <w:rFonts w:ascii="Calibri" w:hAnsi="Calibri" w:eastAsia="Noto Sans SC"/>
          <w:b/>
          <w:color w:val="0B2545"/>
          <w:sz w:val="42"/>
        </w:rPr>
        <w:t>参考资料与版本来源</w:t>
      </w:r>
    </w:p>
    <w:p>
      <w:pPr>
        <w:keepLines/>
        <w:spacing w:before="100" w:after="160"/>
        <w:ind w:left="202" w:right="115"/>
        <w:shd w:fill="E8F2F7"/>
        <w:pBdr>
          <w:left w:val="single" w:sz="18" w:color="2457A6"/>
        </w:pBdr>
      </w:pPr>
      <w:r>
        <w:rPr>
          <w:rFonts w:ascii="Calibri" w:hAnsi="Calibri" w:eastAsia="Noto Sans SC"/>
          <w:b/>
          <w:color w:val="0B2545"/>
          <w:sz w:val="21"/>
        </w:rPr>
        <w:t xml:space="preserve">本章要点  </w:t>
      </w:r>
      <w:r>
        <w:rPr>
          <w:rFonts w:ascii="Calibri" w:hAnsi="Calibri" w:eastAsia="Noto Sans SC"/>
          <w:color w:val="18212B"/>
          <w:sz w:val="21"/>
        </w:rPr>
        <w:t>本文件综合四份团队章节稿，并以2026年8月27日工作区代码、优化记录和真实演示包作为最终真实性基线。</w:t>
      </w:r>
    </w:p>
    <w:p>
      <w:pPr>
        <w:numPr>
          <w:ilvl w:val="0"/>
          <w:numId w:val="11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AlphaSplit技术文档《第1章：问题定义与解题思路》。</w:t>
      </w:r>
    </w:p>
    <w:p>
      <w:pPr>
        <w:numPr>
          <w:ilvl w:val="0"/>
          <w:numId w:val="11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AlphaSplit技术文档《2、3、5、6章》章节稿。</w:t>
      </w:r>
    </w:p>
    <w:p>
      <w:pPr>
        <w:numPr>
          <w:ilvl w:val="0"/>
          <w:numId w:val="11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AlphaSplit《第4章：多智能体回测规划流程——真实性对齐版》。</w:t>
      </w:r>
    </w:p>
    <w:p>
      <w:pPr>
        <w:numPr>
          <w:ilvl w:val="0"/>
          <w:numId w:val="11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AlphaSplit《技术文档高玉伟章节完善版 v0.4》。</w:t>
      </w:r>
    </w:p>
    <w:p>
      <w:pPr>
        <w:numPr>
          <w:ilvl w:val="0"/>
          <w:numId w:val="11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AlphaSplit《代码优化记录：20260827 回测收益与组合构建修复》。</w:t>
      </w:r>
    </w:p>
    <w:p>
      <w:pPr>
        <w:numPr>
          <w:ilvl w:val="0"/>
          <w:numId w:val="11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工作区源码：backtest/query_engine.py、risk_control_module.py、factor_config.py、timing_module.py。</w:t>
      </w:r>
    </w:p>
    <w:p>
      <w:pPr>
        <w:numPr>
          <w:ilvl w:val="0"/>
          <w:numId w:val="11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工作区演示包：engine/web/demo/backtest_demo.json。</w:t>
      </w:r>
    </w:p>
    <w:p>
      <w:pPr>
        <w:numPr>
          <w:ilvl w:val="0"/>
          <w:numId w:val="11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L. S. Shapley. A Value for n-Person Games. 1953.</w:t>
      </w:r>
    </w:p>
    <w:p>
      <w:pPr>
        <w:numPr>
          <w:ilvl w:val="0"/>
          <w:numId w:val="11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Brinson, Hood, Beebower. Determinants of Portfolio Performance. 1986.</w:t>
      </w:r>
    </w:p>
    <w:p>
      <w:pPr>
        <w:numPr>
          <w:ilvl w:val="0"/>
          <w:numId w:val="11"/>
        </w:numPr>
        <w:spacing w:after="80" w:line="283" w:lineRule="auto"/>
      </w:pPr>
      <w:r>
        <w:rPr>
          <w:rFonts w:ascii="Calibri" w:hAnsi="Calibri" w:eastAsia="Noto Sans SC"/>
          <w:color w:val="18212B"/>
          <w:sz w:val="21"/>
        </w:rPr>
        <w:t>Portfolio Performance Attribution via Shapley Value, arXiv:2102.05799。</w:t>
      </w:r>
    </w:p>
    <w:p>
      <w:pPr>
        <w:keepLines/>
        <w:spacing w:before="100" w:after="160"/>
        <w:ind w:left="202" w:right="115"/>
        <w:shd w:fill="FFF6DF"/>
        <w:pBdr>
          <w:left w:val="single" w:sz="18" w:color="D89B24"/>
        </w:pBdr>
      </w:pPr>
      <w:r>
        <w:rPr>
          <w:rFonts w:ascii="Calibri" w:hAnsi="Calibri" w:eastAsia="Noto Sans SC"/>
          <w:b/>
          <w:color w:val="0B2545"/>
          <w:sz w:val="21"/>
        </w:rPr>
        <w:t xml:space="preserve">版本说明  </w:t>
      </w:r>
      <w:r>
        <w:rPr>
          <w:rFonts w:ascii="Calibri" w:hAnsi="Calibri" w:eastAsia="Noto Sans SC"/>
          <w:color w:val="18212B"/>
          <w:sz w:val="21"/>
        </w:rPr>
        <w:t>若本文件与更早章节稿在收益率、风控参数、特征函数、Agent提供商、测试数量或接口字段上存在冲突，以当前提交源码和官方演示包为准。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181" w:right="1440" w:bottom="1181" w:left="1440" w:header="605" w:footer="605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Noto Sans SC"/>
        <w:color w:val="5F6B78"/>
        <w:sz w:val="17"/>
      </w:rPr>
      <w:t xml:space="preserve">第 </w:t>
    </w:r>
    <w:fldSimple w:instr="PAGE">
      <w:r>
        <w:t>1</w:t>
      </w:r>
    </w:fldSimple>
    <w:r>
      <w:rPr>
        <w:rFonts w:ascii="Calibri" w:hAnsi="Calibri" w:eastAsia="Noto Sans SC"/>
        <w:color w:val="5F6B78"/>
        <w:sz w:val="17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  <w:pBdr>
        <w:bottom w:val="single" w:sz="4" w:color="D7E1E8"/>
      </w:pBdr>
    </w:pPr>
    <w:r>
      <w:rPr>
        <w:rFonts w:ascii="Calibri" w:hAnsi="Calibri" w:eastAsia="Noto Sans SC"/>
        <w:b/>
        <w:color w:val="5F6B78"/>
        <w:sz w:val="17"/>
      </w:rPr>
      <w:t>AlphaSplit  |  投研贡献计量与广义价值分配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Calibri" w:hAnsi="Calibri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83" w:lineRule="auto"/>
    </w:pPr>
    <w:rPr>
      <w:rFonts w:ascii="Calibri" w:hAnsi="Calibri" w:eastAsia="Noto Sans SC"/>
      <w:color w:val="1821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59" w:lineRule="auto"/>
      <w:outlineLvl w:val="0"/>
    </w:pPr>
    <w:rPr>
      <w:rFonts w:asciiTheme="majorHAnsi" w:eastAsiaTheme="majorEastAsia" w:hAnsiTheme="majorHAnsi" w:cstheme="majorBidi" w:ascii="Calibri" w:hAnsi="Calibri" w:eastAsia="Noto Sans SC"/>
      <w:b/>
      <w:bCs/>
      <w:color w:val="0B254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59" w:lineRule="auto"/>
      <w:outlineLvl w:val="1"/>
    </w:pPr>
    <w:rPr>
      <w:rFonts w:asciiTheme="majorHAnsi" w:eastAsiaTheme="majorEastAsia" w:hAnsiTheme="majorHAnsi" w:cstheme="majorBidi" w:ascii="Calibri" w:hAnsi="Calibri" w:eastAsia="Noto Sans SC"/>
      <w:b/>
      <w:bCs/>
      <w:color w:val="2457A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59" w:lineRule="auto"/>
      <w:outlineLvl w:val="2"/>
    </w:pPr>
    <w:rPr>
      <w:rFonts w:asciiTheme="majorHAnsi" w:eastAsiaTheme="majorEastAsia" w:hAnsiTheme="majorHAnsi" w:cstheme="majorBidi" w:ascii="Calibri" w:hAnsi="Calibri" w:eastAsia="Noto Sans SC"/>
      <w:b/>
      <w:bCs/>
      <w:color w:val="0B254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59" w:lineRule="auto" w:before="0"/>
      <w:contextualSpacing/>
    </w:pPr>
    <w:rPr>
      <w:rFonts w:asciiTheme="majorHAnsi" w:eastAsiaTheme="majorEastAsia" w:hAnsiTheme="majorHAnsi" w:cstheme="majorBidi" w:ascii="Calibri" w:hAnsi="Calibri" w:eastAsia="Noto Sans SC"/>
      <w:b/>
      <w:color w:val="0B254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00" w:line="259" w:lineRule="auto"/>
    </w:pPr>
    <w:rPr>
      <w:rFonts w:asciiTheme="majorHAnsi" w:eastAsiaTheme="majorEastAsia" w:hAnsiTheme="majorHAnsi" w:cstheme="majorBidi" w:ascii="Calibri" w:hAnsi="Calibri" w:eastAsia="Noto Sans SC"/>
      <w:b/>
      <w:i/>
      <w:iCs/>
      <w:color w:val="5F6B78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Lines/>
      <w:spacing w:line="240" w:lineRule="auto" w:before="80" w:after="160"/>
    </w:pPr>
    <w:rPr>
      <w:rFonts w:ascii="Calibri" w:hAnsi="Calibri" w:eastAsia="Noto Sans SC"/>
      <w:b/>
      <w:bCs/>
      <w:color w:val="5F6B78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AlphaSplit 投研协作激励与贡献计量平台：完整技术文档</dc:title>
  <dc:subject>金融科技竞赛项目完整技术文档</dc:subject>
  <dc:creator>AlphaSplit 项目组</dc:creator>
  <cp:keywords>AlphaSplit, Shapley, 反事实回测, Agent, 因子配置, 广义价值分配</cp:keywords>
  <dc:description>基于当前提交源码与2026-08-27真实回测结果整合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