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黑体" w:hAnsi="黑体" w:eastAsia="黑体"/>
          <w:b/>
          <w:sz w:val="32"/>
        </w:rPr>
        <w:t>第五届中国研究生金融科技创新大赛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自拟赛题 · 人工智能技术在金融领域的创新应用</w:t>
      </w:r>
    </w:p>
    <w:p/>
    <w:p>
      <w:pPr>
        <w:jc w:val="center"/>
      </w:pPr>
      <w:r>
        <w:rPr>
          <w:rFonts w:ascii="黑体" w:hAnsi="黑体" w:eastAsia="黑体"/>
          <w:b/>
          <w:sz w:val="44"/>
        </w:rPr>
        <w:t>技术文档框架（写作提纲）</w:t>
      </w:r>
    </w:p>
    <w:p/>
    <w:p>
      <w:pPr>
        <w:jc w:val="center"/>
      </w:pPr>
      <w:r>
        <w:rPr>
          <w:rFonts w:ascii="黑体" w:hAnsi="黑体" w:eastAsia="黑体"/>
          <w:b/>
          <w:sz w:val="28"/>
        </w:rPr>
        <w:t>AlphaSplit：多智能体驱动的投研角色贡献计量平台</w:t>
      </w:r>
    </w:p>
    <w:p>
      <w:pPr>
        <w:jc w:val="center"/>
      </w:pPr>
      <w:r>
        <w:rPr>
          <w:rFonts w:ascii="宋体" w:hAnsi="宋体" w:eastAsia="宋体"/>
          <w:b w:val="0"/>
          <w:sz w:val="22"/>
        </w:rPr>
        <w:t>文档类型：初赛技术文档 · 框架目录与写作要点</w:t>
      </w:r>
    </w:p>
    <w:p>
      <w:pPr>
        <w:jc w:val="center"/>
      </w:pPr>
      <w:r>
        <w:rPr>
          <w:rFonts w:ascii="宋体" w:hAnsi="宋体" w:eastAsia="宋体"/>
          <w:b w:val="0"/>
          <w:sz w:val="22"/>
        </w:rPr>
        <w:t>篇幅目标：正文约 10–15 页，图文并茂</w:t>
      </w:r>
    </w:p>
    <w:p>
      <w:pPr>
        <w:jc w:val="center"/>
      </w:pPr>
      <w:r>
        <w:rPr>
          <w:rFonts w:ascii="宋体" w:hAnsi="宋体" w:eastAsia="宋体"/>
          <w:b w:val="0"/>
          <w:sz w:val="22"/>
        </w:rPr>
        <w:t>版本：v1.2（分工已按成员能力调整）</w:t>
      </w:r>
    </w:p>
    <w:p>
      <w:pPr>
        <w:jc w:val="center"/>
      </w:pPr>
      <w:r>
        <w:rPr>
          <w:rFonts w:ascii="宋体" w:hAnsi="宋体" w:eastAsia="宋体"/>
          <w:b w:val="0"/>
          <w:sz w:val="22"/>
        </w:rPr>
        <w:t>日期：2026年8月</w:t>
      </w:r>
    </w:p>
    <w:p>
      <w:pPr>
        <w:jc w:val="center"/>
      </w:pPr>
      <w:r>
        <w:rPr>
          <w:rFonts w:ascii="宋体" w:hAnsi="宋体" w:eastAsia="宋体"/>
          <w:b w:val="0"/>
          <w:sz w:val="22"/>
        </w:rPr>
        <w:t>说明：按本章节认领分工；正文撰写时删除「写作提示」类说明文字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说明</w:t>
      </w:r>
    </w:p>
    <w:p>
      <w:pPr>
        <w:spacing w:line="360" w:lineRule="auto" w:after="120"/>
        <w:ind w:firstLine="420"/>
      </w:pPr>
      <w:r>
        <w:rPr>
          <w:rFonts w:ascii="宋体" w:hAnsi="宋体" w:eastAsia="宋体"/>
          <w:b w:val="0"/>
          <w:sz w:val="24"/>
        </w:rPr>
        <w:t>本文档为参赛技术文档的框架提纲，依据大赛参赛指南对技术文档的要求整理，供团队按章分工撰写。</w:t>
      </w:r>
    </w:p>
    <w:p>
      <w:pPr>
        <w:spacing w:line="360" w:lineRule="auto" w:after="120"/>
        <w:ind w:firstLine="420"/>
      </w:pPr>
      <w:r>
        <w:rPr>
          <w:rFonts w:ascii="宋体" w:hAnsi="宋体" w:eastAsia="宋体"/>
          <w:b w:val="0"/>
          <w:sz w:val="24"/>
        </w:rPr>
        <w:t>写作铁律：（1）第6章必须给出量化指标表；（2）至少包含总体架构图、主流程图、实验结果图；（3）开源库如实注明；（4）叙事统一为「投研角色贡献计量」，不作「自动发薪系统」表述；（5）提交材料勿出现校名、校徽等可识别院校信息。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与官方要求映射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官方要求</w:t>
            </w:r>
          </w:p>
        </w:tc>
        <w:tc>
          <w:tcPr>
            <w:tcW w:type="dxa" w:w="4533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对应章节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技术路线与解题思路</w:t>
            </w:r>
          </w:p>
        </w:tc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第1–2章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模型架构与关键技术细节</w:t>
            </w:r>
          </w:p>
        </w:tc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第2–5章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实验设计与技术量化指标</w:t>
            </w:r>
          </w:p>
        </w:tc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第6章（重点）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技术攻关脉络</w:t>
            </w:r>
          </w:p>
        </w:tc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第7章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  <w:b/>
          <w:sz w:val="28"/>
        </w:rPr>
        <w:t>章节分工总表（v1.2 现行）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1"/>
        </w:rPr>
        <w:t>分工原则：董斌负责问题与金融口径；徐远负责回测原理、特征函数落地与实验指标；朱宗基负责Agent框架与调度流程（不主笔内部归因/Shapley原理）；高玉伟负责架构、Shapley表述与全文统稿；汪皓怡负责第7章及全文审校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章节</w:t>
            </w:r>
          </w:p>
        </w:tc>
        <w:tc>
          <w:tcPr>
            <w:tcW w:type="dxa" w:w="2266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主笔</w:t>
            </w:r>
          </w:p>
        </w:tc>
        <w:tc>
          <w:tcPr>
            <w:tcW w:type="dxa" w:w="2266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配合</w:t>
            </w:r>
          </w:p>
        </w:tc>
        <w:tc>
          <w:tcPr>
            <w:tcW w:type="dxa" w:w="2266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写作重点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摘要 + 全文统稿</w:t>
            </w:r>
          </w:p>
        </w:tc>
        <w:tc>
          <w:tcPr>
            <w:tcW w:type="dxa" w:w="226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高玉伟</w:t>
            </w:r>
          </w:p>
        </w:tc>
        <w:tc>
          <w:tcPr>
            <w:tcW w:type="dxa" w:w="226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汪皓怡终审</w:t>
            </w:r>
          </w:p>
        </w:tc>
        <w:tc>
          <w:tcPr>
            <w:tcW w:type="dxa" w:w="226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术语统一、前后文一致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第1章</w:t>
            </w:r>
          </w:p>
        </w:tc>
        <w:tc>
          <w:tcPr>
            <w:tcW w:type="dxa" w:w="226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董斌</w:t>
            </w:r>
          </w:p>
        </w:tc>
        <w:tc>
          <w:tcPr>
            <w:tcW w:type="dxa" w:w="226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高玉伟</w:t>
            </w:r>
          </w:p>
        </w:tc>
        <w:tc>
          <w:tcPr>
            <w:tcW w:type="dxa" w:w="226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问题定义、痛点、解题思路、区隔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第2章</w:t>
            </w:r>
          </w:p>
        </w:tc>
        <w:tc>
          <w:tcPr>
            <w:tcW w:type="dxa" w:w="226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高玉伟（2.1–2.2）</w:t>
              <w:br/>
              <w:t>徐远（2.4–2.5）</w:t>
            </w:r>
          </w:p>
        </w:tc>
        <w:tc>
          <w:tcPr>
            <w:tcW w:type="dxa" w:w="226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董斌（2.3角色口径）</w:t>
            </w:r>
          </w:p>
        </w:tc>
        <w:tc>
          <w:tcPr>
            <w:tcW w:type="dxa" w:w="226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架构图；角色；因子映射与数据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第3章</w:t>
            </w:r>
          </w:p>
        </w:tc>
        <w:tc>
          <w:tcPr>
            <w:tcW w:type="dxa" w:w="226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徐远</w:t>
            </w:r>
          </w:p>
        </w:tc>
        <w:tc>
          <w:tcPr>
            <w:tcW w:type="dxa" w:w="226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高玉伟（表述润色）</w:t>
            </w:r>
          </w:p>
        </w:tc>
        <w:tc>
          <w:tcPr>
            <w:tcW w:type="dxa" w:w="226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v(S)、控制变量/LOO、回测引擎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第4章</w:t>
            </w:r>
          </w:p>
        </w:tc>
        <w:tc>
          <w:tcPr>
            <w:tcW w:type="dxa" w:w="226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朱宗基</w:t>
            </w:r>
          </w:p>
        </w:tc>
        <w:tc>
          <w:tcPr>
            <w:tcW w:type="dxa" w:w="226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高玉伟（补设计动机）</w:t>
            </w:r>
          </w:p>
        </w:tc>
        <w:tc>
          <w:tcPr>
            <w:tcW w:type="dxa" w:w="226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Agent框架、流程、接口、Mock（不写深原理）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第5章</w:t>
            </w:r>
          </w:p>
        </w:tc>
        <w:tc>
          <w:tcPr>
            <w:tcW w:type="dxa" w:w="226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高玉伟</w:t>
            </w:r>
          </w:p>
        </w:tc>
        <w:tc>
          <w:tcPr>
            <w:tcW w:type="dxa" w:w="226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徐远（5.3与LOO/实验衔接）</w:t>
            </w:r>
          </w:p>
        </w:tc>
        <w:tc>
          <w:tcPr>
            <w:tcW w:type="dxa" w:w="226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Shapley与近似；输出与人工确认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第6章</w:t>
            </w:r>
          </w:p>
        </w:tc>
        <w:tc>
          <w:tcPr>
            <w:tcW w:type="dxa" w:w="226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徐远</w:t>
            </w:r>
          </w:p>
        </w:tc>
        <w:tc>
          <w:tcPr>
            <w:tcW w:type="dxa" w:w="226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董斌（金融解读）</w:t>
            </w:r>
          </w:p>
        </w:tc>
        <w:tc>
          <w:tcPr>
            <w:tcW w:type="dxa" w:w="226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实验设计与量化指标表（优先出数）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第7章 + 附录表述</w:t>
            </w:r>
          </w:p>
        </w:tc>
        <w:tc>
          <w:tcPr>
            <w:tcW w:type="dxa" w:w="226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汪皓怡</w:t>
            </w:r>
          </w:p>
        </w:tc>
        <w:tc>
          <w:tcPr>
            <w:tcW w:type="dxa" w:w="226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高玉伟（时间线/技术取舍供料）</w:t>
            </w:r>
          </w:p>
        </w:tc>
        <w:tc>
          <w:tcPr>
            <w:tcW w:type="dxa" w:w="226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攻关脉络、局限、改进；开源引用核对</w:t>
            </w:r>
          </w:p>
        </w:tc>
      </w:tr>
    </w:tbl>
    <w:p/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建议推进顺序：董斌出第1章 → 冻结第2章角色与映射 → 徐远写第3章并优先出第6章数字 → 朱宗基写第4章框架流程 → 高玉伟写第5章并统稿 → 汪皓怡写第7章并终审。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目录总览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摘要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第1章  问题定义与解题思路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第2章  系统架构与角色—决策输入建模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第3章  特征函数与反事实回测设计（重点）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第4章  多智能体回测规划流程（重点）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第5章  Shapley贡献计量与近似算法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第6章  实验设计与技术量化指标（重点）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第7章  攻关过程、局限与改进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附录  术语 · 开源引用 · 复现步骤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摘要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1"/>
        </w:rPr>
        <w:t>【写作提示】不超过半页。问题一句话；方法一句话；2–3条量化结果；边界一句话。主笔：高玉伟；终审：汪皓怡。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（此处撰写摘要正文）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第1章  问题定义与解题思路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1"/>
        </w:rPr>
        <w:t>【本章简介】讲清「为什么做、做什么、和别人有何不同」。从投研多角色协作但贡献难计量切入，给出「经典归因 → 映射到组织角色 → 反事实回测 → 贡献系数」总路线，并与相关工作区隔。对应官方：技术路线与解题思路。</w:t>
      </w:r>
    </w:p>
    <w:p>
      <w:pPr>
        <w:spacing w:line="360" w:lineRule="auto" w:after="120"/>
      </w:pPr>
      <w:r>
        <w:rPr>
          <w:rFonts w:ascii="宋体" w:hAnsi="宋体" w:eastAsia="宋体"/>
          <w:b/>
          <w:sz w:val="21"/>
        </w:rPr>
        <w:t>【分工】主笔：董斌；配合：高玉伟（统稿/区隔表）。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1.1 应用场景与痛点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（撰写：场景、痛点、为何需要客观贡献计量）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1.2 解题思路总览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（撰写：总路线说明；建议配总流程图）</w:t>
      </w:r>
    </w:p>
    <w:p>
      <w:pPr>
        <w:spacing w:line="360" w:lineRule="auto" w:after="120"/>
        <w:jc w:val="center"/>
      </w:pPr>
      <w:r>
        <w:rPr>
          <w:rFonts w:ascii="宋体" w:hAnsi="宋体" w:eastAsia="宋体"/>
          <w:b w:val="0"/>
          <w:sz w:val="21"/>
        </w:rPr>
        <w:t>【插图占位】图1-1  解题思路总流程图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1.3 创新点与相关工作区隔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（撰写：创新点列表；与相关工作对比表）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1.4 设计目标与边界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（撰写：目标；明确输出为贡献系数与解释，非自动发薪）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第2章  系统架构与角色—决策输入建模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1"/>
        </w:rPr>
        <w:t>【本章简介】给出可落地系统架构，并写清组织角色、公开因子「套壳」、数据与随包复现。对应官方：模型架构。</w:t>
      </w:r>
    </w:p>
    <w:p>
      <w:pPr>
        <w:spacing w:line="360" w:lineRule="auto" w:after="120"/>
      </w:pPr>
      <w:r>
        <w:rPr>
          <w:rFonts w:ascii="宋体" w:hAnsi="宋体" w:eastAsia="宋体"/>
          <w:b/>
          <w:sz w:val="21"/>
        </w:rPr>
        <w:t>【分工】主笔：高玉伟（2.1–2.2架构/环境）；徐远（2.4–2.5映射/数据）；董斌（2.3角色口径）。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2.1 总体架构图与模块划分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（撰写：数据 → 映射 → 回测/反事实 → Agent → 输出）</w:t>
      </w:r>
    </w:p>
    <w:p>
      <w:pPr>
        <w:spacing w:line="360" w:lineRule="auto" w:after="120"/>
        <w:jc w:val="center"/>
      </w:pPr>
      <w:r>
        <w:rPr>
          <w:rFonts w:ascii="宋体" w:hAnsi="宋体" w:eastAsia="宋体"/>
          <w:b w:val="0"/>
          <w:sz w:val="21"/>
        </w:rPr>
        <w:t>【插图占位】图2-1  系统总体架构图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2.2 技术栈、依赖与运行环境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（撰写：技术栈；依赖声明；呼应可运行性测试）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2.3 组织角色定义与层级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（撰写：角色清单与层级说明——董斌主供口径）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2.4 角色—归因维度—因子映射表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（必出表：角色 | 归因维度 | 因子类型/集合 | 业务理由）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组织角色</w:t>
            </w:r>
          </w:p>
        </w:tc>
        <w:tc>
          <w:tcPr>
            <w:tcW w:type="dxa" w:w="2266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对应归因维度</w:t>
            </w:r>
          </w:p>
        </w:tc>
        <w:tc>
          <w:tcPr>
            <w:tcW w:type="dxa" w:w="2266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因子类型（示例）</w:t>
            </w:r>
          </w:p>
        </w:tc>
        <w:tc>
          <w:tcPr>
            <w:tcW w:type="dxa" w:w="2266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业务理由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行业分析师</w:t>
            </w:r>
          </w:p>
        </w:tc>
        <w:tc>
          <w:tcPr>
            <w:tcW w:type="dxa" w:w="226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行业配置/景气</w:t>
            </w:r>
          </w:p>
        </w:tc>
        <w:tc>
          <w:tcPr>
            <w:tcW w:type="dxa" w:w="226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趋势/动量类</w:t>
            </w:r>
          </w:p>
        </w:tc>
        <w:tc>
          <w:tcPr>
            <w:tcW w:type="dxa" w:w="226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识别行业轮动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个股分析师</w:t>
            </w:r>
          </w:p>
        </w:tc>
        <w:tc>
          <w:tcPr>
            <w:tcW w:type="dxa" w:w="226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个股选择</w:t>
            </w:r>
          </w:p>
        </w:tc>
        <w:tc>
          <w:tcPr>
            <w:tcW w:type="dxa" w:w="226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反转/超买超卖等</w:t>
            </w:r>
          </w:p>
        </w:tc>
        <w:tc>
          <w:tcPr>
            <w:tcW w:type="dxa" w:w="226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精选个股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策略分析师</w:t>
            </w:r>
          </w:p>
        </w:tc>
        <w:tc>
          <w:tcPr>
            <w:tcW w:type="dxa" w:w="226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仓位/风格择时</w:t>
            </w:r>
          </w:p>
        </w:tc>
        <w:tc>
          <w:tcPr>
            <w:tcW w:type="dxa" w:w="226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波动/择时类</w:t>
            </w:r>
          </w:p>
        </w:tc>
        <w:tc>
          <w:tcPr>
            <w:tcW w:type="dxa" w:w="226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判断市场状态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量化分析师</w:t>
            </w:r>
          </w:p>
        </w:tc>
        <w:tc>
          <w:tcPr>
            <w:tcW w:type="dxa" w:w="226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交易信号/量价</w:t>
            </w:r>
          </w:p>
        </w:tc>
        <w:tc>
          <w:tcPr>
            <w:tcW w:type="dxa" w:w="226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量能统计类</w:t>
            </w:r>
          </w:p>
        </w:tc>
        <w:tc>
          <w:tcPr>
            <w:tcW w:type="dxa" w:w="226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量价微观结构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风控分析师</w:t>
            </w:r>
          </w:p>
        </w:tc>
        <w:tc>
          <w:tcPr>
            <w:tcW w:type="dxa" w:w="226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风险控制</w:t>
            </w:r>
          </w:p>
        </w:tc>
        <w:tc>
          <w:tcPr>
            <w:tcW w:type="dxa" w:w="226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波动/回撤类</w:t>
            </w:r>
          </w:p>
        </w:tc>
        <w:tc>
          <w:tcPr>
            <w:tcW w:type="dxa" w:w="226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控制极端风险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  <w:b/>
          <w:sz w:val="28"/>
        </w:rPr>
        <w:t>2.5 数据与因子库方案及「套壳」假设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（撰写：数据来源、因子库、套壳合理性与局限）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第3章  特征函数与反事实回测设计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1"/>
        </w:rPr>
        <w:t>【本章简介】形式化「去掉某角色（或其决策输入）后组合收益如何变化」。给出v(S)、不少于2种候选假设、控制变量/LOO与回测引擎设置。对应官方：关键技术细节。</w:t>
      </w:r>
    </w:p>
    <w:p>
      <w:pPr>
        <w:spacing w:line="360" w:lineRule="auto" w:after="120"/>
      </w:pPr>
      <w:r>
        <w:rPr>
          <w:rFonts w:ascii="宋体" w:hAnsi="宋体" w:eastAsia="宋体"/>
          <w:b/>
          <w:sz w:val="21"/>
        </w:rPr>
        <w:t>【分工】主笔：徐远；配合：高玉伟（表述润色）。朱宗基不主笔本章原理。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3.1 特征函数 v(S) 形式化定义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（撰写：符号约定与形式化定义）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3.2 候选定义（不少于2种）及业务含义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（示例：去掉角色后因子闲置 / 等权接管 / 基准替代等）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3.3 控制变量法与 Leave-One-Out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（撰写：方法步骤；与反事实实验的对应关系）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3.4 回测引擎关键设置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（撰写：调仓频率、交易成本、基准、切片/窗口等）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第4章  多智能体回测规划流程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1"/>
        </w:rPr>
        <w:t>【本章简介】写清多Agent如何规划实验、触发回测、评估与重试。本章侧重框架、流程与接口，不展开归因/Shapley内部数学原理。对应官方：关键技术细节。</w:t>
      </w:r>
    </w:p>
    <w:p>
      <w:pPr>
        <w:spacing w:line="360" w:lineRule="auto" w:after="120"/>
      </w:pPr>
      <w:r>
        <w:rPr>
          <w:rFonts w:ascii="宋体" w:hAnsi="宋体" w:eastAsia="宋体"/>
          <w:b/>
          <w:sz w:val="21"/>
        </w:rPr>
        <w:t>【分工】主笔：朱宗基（Agent框架与调度）；配合：高玉伟（补「为何这样设计」、与第3/5章衔接表述）。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1"/>
        </w:rPr>
        <w:t>【朱宗基写作范围】①有哪些Agent及输入输出；②规划→调用回测→评估→重试流程图；③与回测模块的接口约定；④本地Mock/可运行性兜底。原理公式引用第3/5章即可。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4.1 Agent 角色与职责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（撰写：规划/执行调度/评估解读等角色）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4.2 规划→执行→评估→重试/收敛闭环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（必画流程图，并与Demo演示路径一致）</w:t>
      </w:r>
    </w:p>
    <w:p>
      <w:pPr>
        <w:spacing w:line="360" w:lineRule="auto" w:after="120"/>
        <w:jc w:val="center"/>
      </w:pPr>
      <w:r>
        <w:rPr>
          <w:rFonts w:ascii="宋体" w:hAnsi="宋体" w:eastAsia="宋体"/>
          <w:b w:val="0"/>
          <w:sz w:val="21"/>
        </w:rPr>
        <w:t>【插图占位】图4-1  多智能体回测规划闭环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4.3 生成—审查—验证隔离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（撰写：如何与硬编码回测验证隔离）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4.4 本地 Mock 与可运行性保障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（撰写：无外网LLM时的兜底策略）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第5章  Shapley贡献计量与近似算法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1"/>
        </w:rPr>
        <w:t>【本章简介】在v(S)可算前提下，说明如何汇总为公理化贡献系数；近似与误差；与第3章LOO衔接；输出可视化与人工确认。对应官方：关键技术细节。</w:t>
      </w:r>
    </w:p>
    <w:p>
      <w:pPr>
        <w:spacing w:line="360" w:lineRule="auto" w:after="120"/>
      </w:pPr>
      <w:r>
        <w:rPr>
          <w:rFonts w:ascii="宋体" w:hAnsi="宋体" w:eastAsia="宋体"/>
          <w:b/>
          <w:sz w:val="21"/>
        </w:rPr>
        <w:t>【分工】主笔：高玉伟；配合：徐远（5.3与LOO/实验衔接）。朱宗基不主笔本章。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5.1 从边际贡献到 Shapley 值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（撰写：定义、公理性质与业务含义）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5.2 近似算法与误差界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（撰写：采样方法、复杂度、误差控制）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5.3 与 LOO/控制变量的衔接说明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（撰写：工程近似 vs 公理化目标——徐远供实验与实现口径）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5.4 贡献系数输出、可视化与人工确认接口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（撰写：输出形式；配界面/报告截图）</w:t>
      </w:r>
    </w:p>
    <w:p>
      <w:pPr>
        <w:spacing w:line="360" w:lineRule="auto" w:after="120"/>
        <w:jc w:val="center"/>
      </w:pPr>
      <w:r>
        <w:rPr>
          <w:rFonts w:ascii="宋体" w:hAnsi="宋体" w:eastAsia="宋体"/>
          <w:b w:val="0"/>
          <w:sz w:val="21"/>
        </w:rPr>
        <w:t>【插图占位】图5-1  贡献计量输出示例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第6章  实验设计与技术量化指标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1"/>
        </w:rPr>
        <w:t>【本章简介】官方点名章节。数据、协议、指标表、主结果、敏感性与性能。数字优先。</w:t>
      </w:r>
    </w:p>
    <w:p>
      <w:pPr>
        <w:spacing w:line="360" w:lineRule="auto" w:after="120"/>
      </w:pPr>
      <w:r>
        <w:rPr>
          <w:rFonts w:ascii="宋体" w:hAnsi="宋体" w:eastAsia="宋体"/>
          <w:b/>
          <w:sz w:val="21"/>
        </w:rPr>
        <w:t>【分工】主笔：徐远；配合：董斌（金融解读）。建议优先出数，再补文字。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6.1 实验目标、数据集与可复现配置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（撰写：数据范围、切分、随包路径、随机种子等）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6.2 评价指标体系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（必填下表）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指标类别</w:t>
            </w:r>
          </w:p>
        </w:tc>
        <w:tc>
          <w:tcPr>
            <w:tcW w:type="dxa" w:w="2266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指标名称</w:t>
            </w:r>
          </w:p>
        </w:tc>
        <w:tc>
          <w:tcPr>
            <w:tcW w:type="dxa" w:w="2266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定义/计算说明</w:t>
            </w:r>
          </w:p>
        </w:tc>
        <w:tc>
          <w:tcPr>
            <w:tcW w:type="dxa" w:w="2266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实验结果（待填）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归因完整性</w:t>
            </w:r>
          </w:p>
        </w:tc>
        <w:tc>
          <w:tcPr>
            <w:tcW w:type="dxa" w:w="226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贡献加总误差/未归因残差</w:t>
            </w:r>
          </w:p>
        </w:tc>
        <w:tc>
          <w:tcPr>
            <w:tcW w:type="dxa" w:w="226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226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估计可靠性</w:t>
            </w:r>
          </w:p>
        </w:tc>
        <w:tc>
          <w:tcPr>
            <w:tcW w:type="dxa" w:w="226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近似误差 vs 采样数</w:t>
            </w:r>
          </w:p>
        </w:tc>
        <w:tc>
          <w:tcPr>
            <w:tcW w:type="dxa" w:w="226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226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排名稳定性</w:t>
            </w:r>
          </w:p>
        </w:tc>
        <w:tc>
          <w:tcPr>
            <w:tcW w:type="dxa" w:w="226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换设置后排名相关或Top-k重合</w:t>
            </w:r>
          </w:p>
        </w:tc>
        <w:tc>
          <w:tcPr>
            <w:tcW w:type="dxa" w:w="226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226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信号有效性</w:t>
            </w:r>
          </w:p>
        </w:tc>
        <w:tc>
          <w:tcPr>
            <w:tcW w:type="dxa" w:w="226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IC、超额、LOO增量等</w:t>
            </w:r>
          </w:p>
        </w:tc>
        <w:tc>
          <w:tcPr>
            <w:tcW w:type="dxa" w:w="226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226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工程性能</w:t>
            </w:r>
          </w:p>
        </w:tc>
        <w:tc>
          <w:tcPr>
            <w:tcW w:type="dxa" w:w="226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全流程耗时、回测次数、内存</w:t>
            </w:r>
          </w:p>
        </w:tc>
        <w:tc>
          <w:tcPr>
            <w:tcW w:type="dxa" w:w="226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226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  <w:b/>
          <w:sz w:val="28"/>
        </w:rPr>
        <w:t>6.3 主实验结果与解读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（撰写：主结果表/图 + 金融口径解读）</w:t>
      </w:r>
    </w:p>
    <w:p>
      <w:pPr>
        <w:spacing w:line="360" w:lineRule="auto" w:after="120"/>
        <w:jc w:val="center"/>
      </w:pPr>
      <w:r>
        <w:rPr>
          <w:rFonts w:ascii="宋体" w:hAnsi="宋体" w:eastAsia="宋体"/>
          <w:b w:val="0"/>
          <w:sz w:val="21"/>
        </w:rPr>
        <w:t>【插图占位】图6-1  主实验结果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6.4 消融与敏感性分析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（撰写：换窗口 / 换v(S) / 换采样数等）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6.5 运行性能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（撰写：耗时、资源占用）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第7章  攻关过程、局限与改进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1"/>
        </w:rPr>
        <w:t>【本章简介】攻关脉络、关键取舍、局限与改进；与精益画布「缺点及改进」对齐。对应官方：技术攻关脉络。</w:t>
      </w:r>
    </w:p>
    <w:p>
      <w:pPr>
        <w:spacing w:line="360" w:lineRule="auto" w:after="120"/>
      </w:pPr>
      <w:r>
        <w:rPr>
          <w:rFonts w:ascii="宋体" w:hAnsi="宋体" w:eastAsia="宋体"/>
          <w:b/>
          <w:sz w:val="21"/>
        </w:rPr>
        <w:t>【分工】主笔：汪皓怡；配合：高玉伟（里程碑时间线、技术取舍供料）；全员补充。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7.1 里程碑与版本演进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（示例：最小闭环 → 批量归因 → Demo联调 → 打包复测）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7.2 关键问题与取舍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（撰写：如先套壳再真日志、先框架调度再深化原理等）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7.3 局限性与风险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（撰写：反事实假设、因子相关、数据可得性、Shapley波动等）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7.4 后续改进计划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（撰写：短期/中期改进路线）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附录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附录A  术语表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术语</w:t>
            </w:r>
          </w:p>
        </w:tc>
        <w:tc>
          <w:tcPr>
            <w:tcW w:type="dxa" w:w="4533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业绩归因</w:t>
            </w:r>
          </w:p>
        </w:tc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分析收益来源的过程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特征函数 v(S)</w:t>
            </w:r>
          </w:p>
        </w:tc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角色子集S下的（反事实）组合价值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Leave-One-Out</w:t>
            </w:r>
          </w:p>
        </w:tc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去掉单一角色观察收益变化的边际贡献估计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Shapley值</w:t>
            </w:r>
          </w:p>
        </w:tc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合作博弈中公平分配总贡献的指标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因子套壳</w:t>
            </w:r>
          </w:p>
        </w:tc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用公开因子近似表达角色决策输入的工程做法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  <w:b/>
          <w:sz w:val="28"/>
        </w:rPr>
        <w:t>附录B  开源组件与第三方引用声明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（列举并如实注明；汪皓怡核对表述，高玉伟/徐远补清单）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附录C  一键复现步骤与预期输出截图索引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（环境要求、安装与启动命令、预期输出；高玉伟整理）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附：成员负担一览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成员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主责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负担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董斌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第1章；第2.3角色口径；第6章金融解读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中（内容/口径）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徐远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第3章；第6章；第2.4–2.5映射与数据；第5.3供料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高（原理+实验，优先出数）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朱宗基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第4章Agent框架与流程（不写深原理）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中（工程框架）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高玉伟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第2.1–2.2；第5章；摘要统稿；第7章供料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高（把控+Shapley表述）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汪皓怡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第7章；全文审校；附录表述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中（材料与审校）</w:t>
            </w:r>
          </w:p>
        </w:tc>
      </w:tr>
    </w:tbl>
    <w:p/>
    <w:sectPr w:rsidR="00FC693F" w:rsidRPr="0006063C" w:rsidSect="00034616">
      <w:pgSz w:w="12240" w:h="15840"/>
      <w:pgMar w:top="1440" w:right="158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