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黑体" w:hAnsi="黑体" w:eastAsia="黑体"/>
          <w:b/>
          <w:sz w:val="30"/>
        </w:rPr>
        <w:t>第五届中国研究生金融科技创新大赛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技术文档 · 分章节初稿</w:t>
      </w:r>
    </w:p>
    <w:p/>
    <w:p>
      <w:pPr>
        <w:jc w:val="center"/>
      </w:pPr>
      <w:r>
        <w:rPr>
          <w:rFonts w:ascii="黑体" w:hAnsi="黑体" w:eastAsia="黑体"/>
          <w:b/>
          <w:sz w:val="28"/>
        </w:rPr>
        <w:t>AlphaSplit：多智能体驱动的投研角色贡献计量平台</w:t>
      </w:r>
    </w:p>
    <w:p/>
    <w:p>
      <w:pPr>
        <w:jc w:val="center"/>
      </w:pPr>
      <w:r>
        <w:rPr>
          <w:rFonts w:ascii="黑体" w:hAnsi="黑体" w:eastAsia="黑体"/>
          <w:b/>
          <w:sz w:val="24"/>
        </w:rPr>
        <w:t>高玉伟负责部分：摘要 · 第2章前半 · 第5章 · 第7章供料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版本：v0.1（基于当前仓库与组内共识整理）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日期：2026年8月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注意：第2.3–2.5、第3/4/6章正文由其他成员主笔；本文不替代全文统稿终版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写作者说明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本分册覆盖技术文档分工中高玉伟主笔/收口内容。叙事口径已统一为：直接计量单位是投研角色；因子是更底层的决策输入代理（套壳）。关于 Shapley：当前可运行实现以对照回测、控制变量/Leave-One-Out 及贡献系数归一为主，Shapley 作为公理化目标与后续近似方向——正文按此诚实表述，避免夸大“已精确实现完整 Shapley”。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配图已嵌入；Demo 界面截图待本地运行后补入图5-4占位。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摘要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color w:val="666666"/>
          <w:sz w:val="21"/>
        </w:rPr>
        <w:t>【说明】统稿时可根据第6章最终数字替换文中“示例性”结果表述。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资产管理与量化投研是典型的多角色协作过程：行业研究、个股研究、策略择时、量化信号与风险控制等环节共同影响组合业绩。传统考核往往依赖固定比例或主观评议，难以回答“各投研角色分别贡献了多少、依据是什么”。经典业绩归因（如 Brinson、风格归因）能够把收益拆到配置、选股或风格等决策维度，但很少继续映射到组织角色。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AlphaSplit 面向该问题，构建“多智能体驱动的投研角色贡献计量平台”。其核心思路是：以投研角色为直接计量单位，用公开可计算因子作为角色决策输入的代理（套壳），由多智能体规划对照/反事实回测方案并自动执行与评估迭代，进而输出可解释的角色贡献系数，并通过可视化与人工确认接口形成决策支持——系统不以自动发薪为目标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当前工程实现已形成可本地运行的演示闭环：场景加载、回测切片与贡献估计、Agent 规划解读（默认 Mock）、带宽约束下的人工确认等。完整 Shapley 值作为公理化目标，工程上以 Leave-One-Out/控制变量估计为可运行近似，并可扩展蒙特卡洛采样。本文后续章节给出系统架构、贡献计量方法与输出接口；实验量化指标由第6章专题给出。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141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-1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14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宋体" w:hAnsi="宋体" w:eastAsia="宋体"/>
          <w:b/>
          <w:sz w:val="21"/>
        </w:rPr>
        <w:t>图1-1  解题思路总流程（摘要配图 / 亦可供第1章使用）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第2章  系统架构与角色—决策输入建模（高玉伟：2.1–2.2）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color w:val="666666"/>
          <w:sz w:val="21"/>
        </w:rPr>
        <w:t>【说明】2.3 角色口径由董斌主供；2.4–2.5 映射与数据由徐远主笔。下文仅完整起草 2.1–2.2，并对 2.3–2.5 给出衔接说明。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2.1 总体架构图与模块划分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系统按四层组织，与“角色贡献计量”主线对齐。需要强调：对外输出与考核口径的对象是角色；因子处于信号层，用于表达“该角色做决策时可能依据的信息”，属于实现手段而非最终归因对象。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269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1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宋体" w:hAnsi="宋体" w:eastAsia="宋体"/>
          <w:b/>
          <w:sz w:val="21"/>
        </w:rPr>
        <w:t>图2-1  AlphaSplit 系统总体架构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四层含义如下：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（1）信号层：接入公开行情/场景参数与因子库，把难以直接观测的角色决策，转化为可计算、可复现的决策输入代理。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（2）计量层：定义特征函数语境下的对照/反事实实验，用控制变量或 Leave-One-Out 估计边际贡献，并归一为角色贡献系数；同时保留向 Shapley 公理化目标对齐的接口。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（3）智能层：多智能体负责规划回测方案、调度执行、评估是否达标并在必要时重试。演示环境默认 Mock，保证无外网亦可运行。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（4）输出层：给出贡献系数、可视化报告，以及带宽约束下的人工确认接口，体现“计量与决策支持、而非自动发薪”。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仓库实现上，上述分层落实为 engine 下的模块分工：web 负责演示与可视化，api 提供 FastAPI 接口，agentic 负责规划与解读（及协商辅助），core 负责回测归因、计算与确认规则，data/scenarios 提供场景先验。主启动方式为：python -m engine.api.main。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134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2_modu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3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宋体" w:hAnsi="宋体" w:eastAsia="宋体"/>
          <w:b/>
          <w:sz w:val="21"/>
        </w:rPr>
        <w:t>图2-2  仓库模块与调用关系（engine）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主数据流可概括为：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场景/参数加载 →（Agent）生成回测或归因计划 → core 执行切片回测与贡献估计 → 结果写回展示层 →（可选）协商建议与人工确认。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2.2 技术栈、依赖与运行环境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当前演示系统技术栈以 Python 为主，Web 前端为静态页面 + Chart.js，后端为 FastAPI。核心依赖见下表（以仓库 requirements.txt 为准，提交前应锁定版本号）。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类别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组件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语言/运行时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Python 3.10+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主业务逻辑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Web API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FastAPI / Uvicorn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提供 /api/* 与静态页托管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数据校验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Pydantic v2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请求体模型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前端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原生 HTML/CSS/JS + Chart.js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归因与权重可视化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Agent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本地 Mock（可选 LLM）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规划与解读；保证可运行性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scenarios JSON + 合成/公开数据管线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机制验证与演示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可运行性要求（对齐大赛统一测试）：演示包应自带必要数据或场景文件；默认不依赖外网大模型密钥；安装依赖后应能通过一键命令启动并完成主流程演示。Agent 侧提供 Mock/LLM 切换，如图4-3所示（该图亦供第4章使用）。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6456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-3_mo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45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宋体" w:hAnsi="宋体" w:eastAsia="宋体"/>
          <w:b/>
          <w:sz w:val="21"/>
        </w:rPr>
        <w:t>图4-3  Agent 推理的 Mock / LLM 切换（可运行性保障）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2.3–2.5 衔接说明（非本分册终稿）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2.3 组织角色定义与层级、2.4 角色—因子映射表、2.5 数据与因子库及套壳假设，由董斌（口径）与徐远（映射/数据实现）主笔。统稿时需保证：映射表中的角色集合与第5章贡献系数输出维度一致；并明确“因子是角色决策输入的代理”。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第5章  Shapley 贡献计量与近似算法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color w:val="666666"/>
          <w:sz w:val="21"/>
        </w:rPr>
        <w:t>【说明】主笔：高玉伟；5.3 请徐远按实际 LOO/回测实现核对补强。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5.1 从边际贡献到 Shapley 值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设投研角色集合为 N={1,…,n}。对任意角色子集 S⊆N，定义特征函数 v(S) 表示“仅保留 S 中角色对应的决策输入（因子集合）时，组合可获得的价值”（例如回测超额、风险调整后收益等，具体定义见第3章）。角色 i 的 Shapley 值 φ_i 将其在所有可能加入顺序上的边际贡献取平均：</w:t>
      </w:r>
    </w:p>
    <w:p>
      <w:pPr>
        <w:spacing w:line="360" w:lineRule="auto" w:after="120"/>
        <w:jc w:val="center"/>
      </w:pPr>
      <w:r>
        <w:rPr>
          <w:rFonts w:ascii="宋体" w:hAnsi="宋体" w:eastAsia="宋体"/>
          <w:b w:val="0"/>
          <w:sz w:val="24"/>
        </w:rPr>
        <w:t>φ_i = Σ_{S⊆N\{i}} [|S|!(n-|S|-1)! / n!] · [v(S∪{i}) - v(S)]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该分配满足有效性（各角色贡献之和等于总可分配价值）、对称性、哑元性等性质，适合作为“角色贡献系数”的公理化目标。对本项目而言：计量对象是角色；v(S) 的计算依赖角色—因子映射与回测引擎。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1539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-1_shaple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53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宋体" w:hAnsi="宋体" w:eastAsia="宋体"/>
          <w:b/>
          <w:sz w:val="21"/>
        </w:rPr>
        <w:t>图5-1  从角色边际贡献到 Shapley 贡献系数（示意）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5.2 近似算法与误差界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精确计算 Shapley 需要对所有子集求 v(S)，回测次数随角色数指数增长。工程上可采用：（1）Monte Carlo 排列采样：随机抽取加入顺序，估计平均边际贡献，并随采样数增加降低方差；（2）Truncated / 结构化近似：利用角色分组或提前截断低贡献路径；（3）先用 Leave-One-Out 得到稳定排序与量级，再对关键对比做加密采样。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答辩与文档中应报告：采样次数—估计波动（或与精确/基线的偏差）曲线，以及单次全流程耗时。若第6章实验尚未完成全采样，可先给出方法设计与复杂度分析，并用 LOO 结果作为可运行基线。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5.3 与 LOO / 控制变量的衔接说明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Leave-One-Out（去掉单一角色或其因子集合）与控制变量法，本质是在固定其他条件时估计“该角色的边际影响”，计算复杂度约为 O(n) 次回测，适合作为竞赛 Demo 与中期工程的主路径。它通常不是完整 Shapley（未对所有联盟顺序平均），但在角色相互作用不太极端、或作为排序与量级估计时非常有效。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本项目采取的衔接策略是：以 LOO/控制变量产出可解释、可复现的角色贡献系数，作为系统当前默认输出；同时在方法上对齐 Shapley 目标，把完整/近似 Shapley 作为增强项与理论锚点。这样既保证可运行性，又避免把工程近似误称为精确公理化解。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8219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-3_loo_shaple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21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宋体" w:hAnsi="宋体" w:eastAsia="宋体"/>
          <w:b/>
          <w:sz w:val="21"/>
        </w:rPr>
        <w:t>图5-3  Leave-One-Out 与 Shapley 的衔接关系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此外，仓库中另有“多时段×多品类对照回测 → 策略/行业·政策/偶然·宏观”三类权重估计，用于解释超额质量、辅助校正角色 Impact 锚点。它与角色贡献计量互补：前者回答“收益质量结构”，后者回答“组织角色贡献结构”。统稿时需避免两套结果混为一谈。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5.4 贡献系数输出、可视化与人工确认接口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输出层将角色贡献系数归一化后展示，并提供文字解读（Agent 规划结论）。人工确认环节采用“公式/计量锚点 + 带宽 + 确认”的规则：系统给出建议份额或权重，允许在有限带宽内调整；越界调整需显式确认，从而把最终责任保留在人侧，符合“决策支持而非自动发薪”的定位。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关键接口（仓库现状，提交前以实际路由为准）：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接口</w:t>
            </w:r>
          </w:p>
        </w:tc>
        <w:tc>
          <w:tcPr>
            <w:tcW w:type="dxa" w:w="4646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作用</w:t>
            </w:r>
          </w:p>
        </w:tc>
      </w:tr>
      <w:tr>
        <w:tc>
          <w:tcPr>
            <w:tcW w:type="dxa" w:w="464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POST /api/attribution</w:t>
            </w:r>
          </w:p>
        </w:tc>
        <w:tc>
          <w:tcPr>
            <w:tcW w:type="dxa" w:w="464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Agent 规划回测归因，输出权重与解读</w:t>
            </w:r>
          </w:p>
        </w:tc>
      </w:tr>
      <w:tr>
        <w:tc>
          <w:tcPr>
            <w:tcW w:type="dxa" w:w="464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POST /api/negotiate</w:t>
            </w:r>
          </w:p>
        </w:tc>
        <w:tc>
          <w:tcPr>
            <w:tcW w:type="dxa" w:w="464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协商建议案（辅助）</w:t>
            </w:r>
          </w:p>
        </w:tc>
      </w:tr>
      <w:tr>
        <w:tc>
          <w:tcPr>
            <w:tcW w:type="dxa" w:w="464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POST /api/confirm</w:t>
            </w:r>
          </w:p>
        </w:tc>
        <w:tc>
          <w:tcPr>
            <w:tcW w:type="dxa" w:w="464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人工确认落账/确认权重</w:t>
            </w:r>
          </w:p>
        </w:tc>
      </w:tr>
      <w:tr>
        <w:tc>
          <w:tcPr>
            <w:tcW w:type="dxa" w:w="464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POST /api/rebalance 等</w:t>
            </w:r>
          </w:p>
        </w:tc>
        <w:tc>
          <w:tcPr>
            <w:tcW w:type="dxa" w:w="464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敏感性/回平衡演示（辅助）</w:t>
            </w:r>
          </w:p>
        </w:tc>
      </w:tr>
    </w:tbl>
    <w:p/>
    <w:p>
      <w:pPr>
        <w:spacing w:line="360" w:lineRule="auto" w:after="120"/>
      </w:pPr>
      <w:r>
        <w:rPr>
          <w:rFonts w:ascii="宋体" w:hAnsi="宋体" w:eastAsia="宋体"/>
          <w:b w:val="0"/>
          <w:color w:val="993300"/>
          <w:sz w:val="24"/>
        </w:rPr>
        <w:t>【图5-4 占位】请在本地执行 python -m engine.api.main 后截取：Agent归因面板、三因素/角色权重图、确认页，替换本处。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第7章供料（给汪皓怡主笔用）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color w:val="666666"/>
          <w:sz w:val="21"/>
        </w:rPr>
        <w:t>【说明】以下为高玉伟提供的时间线与取舍素材，请汪皓怡改写成第7章正式表述，并与精益画布「缺点及改进」对齐。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7.1 里程碑素材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阶段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事项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产出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立项与评估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评估报告指出弱化“分钱”、强化贡献计量/归因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叙事迁移方向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叙事重构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确定角色贡献计量主线；弱化自动发薪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项目名与 README 统一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0813 会议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三层/角色框架；因子套壳；数据与回测分工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会议纪要与待办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工程骨架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FastAPI + Web Demo；Agent 归因规划（Mock）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可本地启动演示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回测与映射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徐远侧因子库/LOO/控制变量方案（v4文档）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实验与第3/6章基础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文档框架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七章目录与分工 v1.2；插图清单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本组技术文档框架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打包复测（待）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干净环境安装依赖并跑通主流程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可运行性自测记录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6"/>
        </w:rPr>
        <w:t>7.2 关键取舍素材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（1）计量对象取角色、不取因子：因子只作决策输入代理，避免做成“又一个因子挖掘平台”。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（2）先套壳再真日志：公开市场缺少角色决策日志，用因子映射先跑通反事实链路。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（3）先 LOO/控制变量，再逼近 Shapley：保证 Demo 可运行，同时保留公理化目标。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（4）Agent 默认 Mock：满足大赛可运行性测试，不绑外网 LLM。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（5）输出定位为决策支持：保留人工确认，不把系统写成自动发薪。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（6）双轨落地（如存量/增量）可作为应用设想一笔带过，技术文档主线仍是贡献计量。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7.3 局限与风险素材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反事实假设主观性；因子相关导致贡献稀释；套壳与真实岗位决策存在差距；Shapley 波动与计算成本；机构真实数据可得性。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7.4 改进方向素材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接入脱敏决策日志；补全蒙特卡洛 Shapley 与误差曲线；增强 Agent 评估重试策略；补齐第6章全套量化表；干净环境一键复现脚本。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附录：本分册插图清单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图号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文件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图1-1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fig1-1_pipeline.png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解题总流程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图2-1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fig2-1_architecture.png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总体架构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图2-2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fig2-2_modules.png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模块关系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图4-3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fig4-3_mock.png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Mock/LLM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图5-1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fig5-1_shapley.png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Shapley示意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图5-3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fig5-3_loo_shapley.png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LOO与Shapley衔接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图5-4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待截图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Demo输出界面</w:t>
            </w:r>
          </w:p>
        </w:tc>
      </w:tr>
    </w:tbl>
    <w:p/>
    <w:sectPr w:rsidR="00FC693F" w:rsidRPr="0006063C" w:rsidSect="00034616">
      <w:pgSz w:w="12240" w:h="15840"/>
      <w:pgMar w:top="1304" w:right="1474" w:bottom="130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