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Noto Sans SC"/>
          <w:b/>
          <w:color w:val="16B8C8"/>
          <w:sz w:val="22"/>
        </w:rPr>
        <w:t>ALPHASPLIT</w:t>
      </w:r>
    </w:p>
    <w:p>
      <w:pPr>
        <w:spacing w:after="160"/>
        <w:jc w:val="center"/>
      </w:pPr>
      <w:r>
        <w:rPr>
          <w:rFonts w:ascii="Calibri" w:hAnsi="Calibri" w:eastAsia="Noto Sans SC"/>
          <w:b/>
          <w:color w:val="0B2545"/>
          <w:sz w:val="56"/>
        </w:rPr>
        <w:t>投研贡献计量与广义价值分配平台</w:t>
      </w:r>
    </w:p>
    <w:p>
      <w:pPr>
        <w:spacing w:after="320"/>
        <w:jc w:val="center"/>
      </w:pPr>
      <w:r>
        <w:rPr>
          <w:rFonts w:ascii="Calibri" w:hAnsi="Calibri" w:eastAsia="Noto Sans SC"/>
          <w:b/>
          <w:color w:val="2457A6"/>
          <w:sz w:val="32"/>
        </w:rPr>
        <w:t>完整技术文档 · 优化版</w:t>
      </w:r>
    </w:p>
    <w:p>
      <w:pPr>
        <w:spacing w:after="680"/>
        <w:jc w:val="center"/>
      </w:pPr>
      <w:r>
        <w:rPr>
          <w:rFonts w:ascii="Calibri" w:hAnsi="Calibri" w:eastAsia="Noto Sans SC"/>
          <w:color w:val="5F6B78"/>
          <w:sz w:val="22"/>
        </w:rPr>
        <w:t>贡献可计量 · 证据可解释 · 方案可协商 · 应用须确认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18409"/>
            <wp:docPr id="1" name="Picture 1" descr="客户描述需求，经Agent确认方案、真实回测、Shapley贡献计量和人工治理应用的五步流程" title="项目技术闭环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1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项目技术闭环概览</w:t>
      </w:r>
    </w:p>
    <w:p>
      <w:pPr>
        <w:spacing w:before="320"/>
        <w:jc w:val="center"/>
      </w:pPr>
      <w:r>
        <w:rPr>
          <w:rFonts w:ascii="Calibri" w:hAnsi="Calibri" w:eastAsia="Noto Sans SC"/>
          <w:b/>
          <w:color w:val="0B2545"/>
          <w:sz w:val="21"/>
        </w:rPr>
        <w:t>第五届中国研究生金融科技创新大赛</w:t>
      </w:r>
    </w:p>
    <w:p>
      <w:pPr>
        <w:jc w:val="center"/>
      </w:pPr>
      <w:r>
        <w:rPr>
          <w:rFonts w:ascii="Calibri" w:hAnsi="Calibri" w:eastAsia="Noto Sans SC"/>
          <w:color w:val="5F6B78"/>
          <w:sz w:val="19"/>
        </w:rPr>
        <w:t>版本：v1.0  |  技术口径日期：2026年8月27日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36"/>
        </w:rPr>
        <w:t>摘要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AlphaSplit 是面向资产管理投研协作场景的贡献计量与治理支持平台。系统把行业、个股、策略、量化、风控五类角色作为合作博弈参与者，用40个登记因子和少量模块参数表达其决策输入；再通过统一数据、统一成本和统一调仓口径下的32个角色联盟反事实回测，计算各角色对组合相对沪深300超额收益的Shapley边际贡献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平台同时引入受约束Agent交互：用户可通过快捷选择和自然语言描述投资偏好，DeepSeek仅负责生成结构化因子配置建议；角色白名单、因子边界、归一化、组合构建、收益计算与贡献计量均由确定性程序完成。配置须经过人工确认才进入实时回测，结果须经过证据白名单校验才进入解读和治理环节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本版以优化后的 portfolio-v7-20260827 引擎为事实基线。官方验证区间为2024年7月至2025年6月：优化策略累计收益22.67%，沪深300累计收益13.70%，超额收益8.96%，夏普比率1.24，最大回撤-5.89%；32个联盟全部完成，Shapley合计与组合超额收益一致。跨区间实验保留了负收益和负超额结果，明确不将单一区间表现解释为未来收益保证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关键词  </w:t>
      </w:r>
      <w:r>
        <w:rPr>
          <w:rFonts w:ascii="Calibri" w:hAnsi="Calibri" w:eastAsia="Noto Sans SC"/>
          <w:color w:val="18212B"/>
          <w:sz w:val="21"/>
        </w:rPr>
        <w:t>投研贡献计量；合作博弈；Shapley值；反事实回测；多智能体规划；因子配置；可解释金融；人工确认；广义价值分配。</w:t>
      </w:r>
    </w:p>
    <w:p>
      <w:pPr>
        <w:pStyle w:val="Heading2"/>
      </w:pPr>
      <w:r>
        <w:t>版本事实基线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4400"/>
        <w:gridCol w:w="31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当前口径</w:t>
            </w:r>
          </w:p>
        </w:tc>
        <w:tc>
          <w:tcPr>
            <w:tcW w:type="dxa" w:w="3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核验状态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回测引擎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portfolio-v7-20260827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缓存键隔离旧算法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默认配置</w:t>
            </w:r>
          </w:p>
        </w:tc>
        <w:tc>
          <w:tcPr>
            <w:tcW w:type="dxa" w:w="4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diversified_defensive_v4 / version 4</w:t>
            </w:r>
          </w:p>
        </w:tc>
        <w:tc>
          <w:tcPr>
            <w:tcW w:type="dxa" w:w="3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五角色各8因子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主验证区间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2024-07-01 至 2025-06-30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真实月度收益路径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对照对象</w:t>
            </w:r>
          </w:p>
        </w:tc>
        <w:tc>
          <w:tcPr>
            <w:tcW w:type="dxa" w:w="4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优化策略 / 严格旧参数基线 / 沪深300</w:t>
            </w:r>
          </w:p>
        </w:tc>
        <w:tc>
          <w:tcPr>
            <w:tcW w:type="dxa" w:w="3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同日期、同成本、同基准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自动化验证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97项Python测试 + 前端与浏览器验收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全部通过</w:t>
            </w:r>
          </w:p>
        </w:tc>
      </w:tr>
    </w:tbl>
    <w:p>
      <w:pPr>
        <w:spacing w:after="20"/>
      </w:pPr>
    </w:p>
    <w:p>
      <w:pPr>
        <w:pStyle w:val="Heading2"/>
      </w:pPr>
      <w: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7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第1章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问题定义、设计目标与解题思路</w:t>
            </w:r>
          </w:p>
        </w:tc>
      </w:tr>
      <w:tr>
        <w:tc>
          <w:tcPr>
            <w:tcW w:type="dxa" w:w="1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第2章</w:t>
            </w:r>
          </w:p>
        </w:tc>
        <w:tc>
          <w:tcPr>
            <w:tcW w:type="dxa" w:w="77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系统架构、角色建模与40因子库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第3章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特征函数、反事实回测与Shapley计量</w:t>
            </w:r>
          </w:p>
        </w:tc>
      </w:tr>
      <w:tr>
        <w:tc>
          <w:tcPr>
            <w:tcW w:type="dxa" w:w="1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第4章</w:t>
            </w:r>
          </w:p>
        </w:tc>
        <w:tc>
          <w:tcPr>
            <w:tcW w:type="dxa" w:w="77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Agent规划、客户方案生成与人机协同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第5章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贡献证据、双轨治理与人工确认</w:t>
            </w:r>
          </w:p>
        </w:tc>
      </w:tr>
      <w:tr>
        <w:tc>
          <w:tcPr>
            <w:tcW w:type="dxa" w:w="1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第6章</w:t>
            </w:r>
          </w:p>
        </w:tc>
        <w:tc>
          <w:tcPr>
            <w:tcW w:type="dxa" w:w="77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实验结果、收益修复与工程验证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附录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接口、配置、复现命令与参考资料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01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第1章  问题定义、设计目标与解题思路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把传统资产与因子归因推进到组织角色层，在不让大模型生成金融事实的前提下，形成可计量、可解释、可复现、可协商的贡献证据。</w:t>
      </w:r>
    </w:p>
    <w:p>
      <w:pPr>
        <w:pStyle w:val="Heading2"/>
      </w:pPr>
      <w:r>
        <w:t>1.1 应用场景与核心问题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资产管理产品的结果往往由行业配置、个股研究、仓位择时、量价执行和风险约束共同产生。传统归因可以说明收益来自行业、风格或因子，却难以回答这些决策输入分别由哪些组织角色贡献、角色之间如何协同，以及结果如何进入资源配置和治理讨论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AlphaSplit聚焦的不是“给一个最终分配数字”，而是构造一条可审计的证据链：角色决策输入如何被因子代理、参数如何进入组合、某角色缺席时组合如何变化、边际贡献如何汇总、治理责任人为何采纳或调整建议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归因对象缺口：Brinson、Barra和风格归因的对象主要是资产或风险暴露，不直接对应组织角色。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多角色交互：策略、量化和风控常依赖上游选股结果，简单地“去掉一个角色”无法完整分摊交互效应。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自然语言与金融引擎之间存在断层：用户能表达“更稳健”或“重视行业轮动”，但回测需要严格、有限、可校验的参数。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演示与真实性冲突：完整32联盟回测耗时较长，路演需要快速展示，但不能用Mock金融结果冒充真实回测。</w:t>
      </w:r>
    </w:p>
    <w:p>
      <w:pPr>
        <w:pStyle w:val="Heading2"/>
      </w:pPr>
      <w:r>
        <w:t>1.2 四层解题框架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资产与市场层：以HS300真实行情、行业映射和公开量价因子构造可复现的投资组合。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决策链映射层：建立“角色—决策职责—因子/参数”映射，使角色参与与否具有可执行含义。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角色贡献层：枚举32个联盟，在控制变量条件下计算特征函数v(S)，再用精确Shapley值分摊交互贡献。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治理应用层：把带符号贡献转为证据轨建议权重，与制度轨按6:4合成，经五角色陈述和人工确认后形成应用建议。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2" name="Picture 2" descr="AlphaSplit五步技术闭环" title="图1-1  AlphaSplit解题思路与应用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图1-1  AlphaSplit解题思路与应用闭环</w:t>
      </w:r>
    </w:p>
    <w:p>
      <w:pPr>
        <w:pStyle w:val="Heading2"/>
      </w:pPr>
      <w:r>
        <w:t>1.3 设计目标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2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工程验收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可计量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输出带符号角色贡献，并能还原组合超额收益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Σφᵢ = R组合 - RHS300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可解释</w:t>
            </w:r>
          </w:p>
        </w:tc>
        <w:tc>
          <w:tcPr>
            <w:tcW w:type="dxa" w:w="4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每个指标均展示定义、公式、区间、字段和局限</w:t>
            </w:r>
          </w:p>
        </w:tc>
        <w:tc>
          <w:tcPr>
            <w:tcW w:type="dxa" w:w="36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前端数据依据面板与证据编号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可复现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数据、因子、配置、版本和成本口径可追踪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request_id、config_id、engine_version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可协商</w:t>
            </w:r>
          </w:p>
        </w:tc>
        <w:tc>
          <w:tcPr>
            <w:tcW w:type="dxa" w:w="4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算法结果是治理锚点，不是自动裁决</w:t>
            </w:r>
          </w:p>
        </w:tc>
        <w:tc>
          <w:tcPr>
            <w:tcW w:type="dxa" w:w="36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建议预览、角色协商、人工确认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可演示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路演可秒开真实预跑结果，且标明来源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预制包与实时回测明确区分</w:t>
            </w:r>
          </w:p>
        </w:tc>
      </w:tr>
    </w:tbl>
    <w:p>
      <w:pPr>
        <w:spacing w:after="20"/>
      </w:pPr>
    </w:p>
    <w:p>
      <w:pPr>
        <w:pStyle w:val="Heading2"/>
      </w:pPr>
      <w:r>
        <w:t>1.4 创新点与边界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项目的创新不在于单独发明新因子或新归因公式，而在于把角色建模、受约束Agent、反事实回测、Shapley贡献和人工治理连接为可运行系统。归因对象从资产/因子扩展到组织角色；自然语言通过白名单配置进入确定性金融引擎；完整结果通过证据白名单进入解释层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适用边界  </w:t>
      </w:r>
      <w:r>
        <w:rPr>
          <w:rFonts w:ascii="Calibri" w:hAnsi="Calibri" w:eastAsia="Noto Sans SC"/>
          <w:color w:val="18212B"/>
          <w:sz w:val="21"/>
        </w:rPr>
        <w:t>当前直接适用于股票多头、月度调仓和HS300基准场景。40因子是角色决策输入的代理，不等同于真实人员全部能力；单一区间结果不能代表未来表现；系统不替代投资决策、风险审批或治理责任人的判断。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02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第2章  系统架构、角色建模与40因子库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系统按交互治理、Agent编排、金融计算、数据审计四层解耦；五角色各配置8个因子，所有配置在进入回测前经过登记、方向和边界校验。</w:t>
      </w:r>
    </w:p>
    <w:p>
      <w:pPr>
        <w:pStyle w:val="Heading2"/>
      </w:pPr>
      <w:r>
        <w:t>2.1 总体架构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3" name="Picture 3" descr="AlphaSplit四层软件架构" title="图2-1  AlphaSplit分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图2-1  AlphaSplit分层架构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交互与治理层由FastAPI静态Web页面承载，提供四步自助流程、三方收益对照、指标依据抽屉、五角色协商和人工确认。Agent编排层负责意图理解、结构化配置建议、查询规划和证据约束解读。金融计算层完成因子评分、组合构建、成本计算和全联盟Shapley；数据与审计层提供HS300行情、缓存版本和逐月诊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主要模块</w:t>
            </w:r>
          </w:p>
        </w:tc>
        <w:tc>
          <w:tcPr>
            <w:tcW w:type="dxa" w:w="4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交互与治理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engine/web、engine/agentic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引导流程、图表、协商、6:4合成与人工确认</w:t>
            </w:r>
          </w:p>
        </w:tc>
      </w:tr>
      <w:tr>
        <w:tc>
          <w:tcPr>
            <w:tcW w:type="dxa" w:w="17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Agent编排</w:t>
            </w:r>
          </w:p>
        </w:tc>
        <w:tc>
          <w:tcPr>
            <w:tcW w:type="dxa" w:w="3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agent_layer、engine/integrations/agent_bridge.py</w:t>
            </w:r>
          </w:p>
        </w:tc>
        <w:tc>
          <w:tcPr>
            <w:tcW w:type="dxa" w:w="4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规划、因子建议、证据白名单与结果解读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金融计算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backtest/query_engine.py 等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40因子、五角色Pipeline、交易成本、32联盟Shapley</w:t>
            </w:r>
          </w:p>
        </w:tc>
      </w:tr>
      <w:tr>
        <w:tc>
          <w:tcPr>
            <w:tcW w:type="dxa" w:w="17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API与保护</w:t>
            </w:r>
          </w:p>
        </w:tc>
        <w:tc>
          <w:tcPr>
            <w:tcW w:type="dxa" w:w="3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engine/api</w:t>
            </w:r>
          </w:p>
        </w:tc>
        <w:tc>
          <w:tcPr>
            <w:tcW w:type="dxa" w:w="4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结构化模型、SSE、单任务互斥、可选Token保护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数据与场景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data/processed、data/scenarios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HS300日线、行业映射、财务与演示场景</w:t>
            </w:r>
          </w:p>
        </w:tc>
      </w:tr>
    </w:tbl>
    <w:p>
      <w:pPr>
        <w:spacing w:after="20"/>
      </w:pPr>
    </w:p>
    <w:p>
      <w:pPr>
        <w:pStyle w:val="Heading2"/>
      </w:pPr>
      <w:r>
        <w:t>2.2 五角色职责与组合构建位置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86505"/>
            <wp:docPr id="4" name="Picture 4" descr="五角色与40因子映射" title="图2-2  五角色、决策职责与因子类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ole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图2-2  五角色、决策职责与因子类型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500"/>
        <w:gridCol w:w="2300"/>
        <w:gridCol w:w="3400"/>
        <w:gridCol w:w="2160"/>
      </w:tblGrid>
      <w:tr>
        <w:trPr>
          <w:tblHeader w:val="true"/>
        </w:trPr>
        <w:tc>
          <w:tcPr>
            <w:tcW w:type="dxa" w:w="1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主要决策</w:t>
            </w:r>
          </w:p>
        </w:tc>
        <w:tc>
          <w:tcPr>
            <w:tcW w:type="dxa" w:w="3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在Pipeline中的作用</w:t>
            </w:r>
          </w:p>
        </w:tc>
        <w:tc>
          <w:tcPr>
            <w:tcW w:type="dxa" w:w="2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模块参数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行业分析师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识别相对强势行业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按行业内Top-3股票平均Borda选4个行业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top_industries=4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个股分析师</w:t>
            </w:r>
          </w:p>
        </w:tc>
        <w:tc>
          <w:tcPr>
            <w:tcW w:type="dxa" w:w="2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形成候选股优先级</w:t>
            </w:r>
          </w:p>
        </w:tc>
        <w:tc>
          <w:tcPr>
            <w:tcW w:type="dxa" w:w="3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在目标行业中保留30只候选并保留排序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无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策略分析师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择时与总仓位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20日趋势为负时启用防御仓位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target_vol=15%；lookback=20；cap=50%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量化分析师</w:t>
            </w:r>
          </w:p>
        </w:tc>
        <w:tc>
          <w:tcPr>
            <w:tcW w:type="dxa" w:w="2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多策略信号优化</w:t>
            </w:r>
          </w:p>
        </w:tc>
        <w:tc>
          <w:tcPr>
            <w:tcW w:type="dxa" w:w="3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与个股排序按50%/50%联合Borda选10只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无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风控分析师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集中度与损失约束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单股/行业联合容量投影，不把降仓重新拉满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单股10%；行业30%；止损-5%</w:t>
            </w:r>
          </w:p>
        </w:tc>
      </w:tr>
    </w:tbl>
    <w:p>
      <w:pPr>
        <w:spacing w:after="20"/>
      </w:pPr>
    </w:p>
    <w:p>
      <w:pPr>
        <w:pStyle w:val="Heading2"/>
      </w:pPr>
      <w:r>
        <w:t>2.3 40因子登记表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每个角色内部8个因子默认等权12.5%，总和必须归一化为100%；单因子权重上限为35%。direction=+1表示高值优先，direction=-1表示低值优先。反转、突破等基础信号若已在底层完成方向变换，则登记的是最终评分方向。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200"/>
        <w:gridCol w:w="6100"/>
        <w:gridCol w:w="2060"/>
      </w:tblGrid>
      <w:tr>
        <w:trPr>
          <w:tblHeader w:val="true"/>
        </w:trPr>
        <w:tc>
          <w:tcPr>
            <w:tcW w:type="dxa" w:w="12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1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8个因子</w:t>
            </w:r>
          </w:p>
        </w:tc>
        <w:tc>
          <w:tcPr>
            <w:tcW w:type="dxa" w:w="2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方向口径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行业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5日动量；10日动量；均线偏离；均线斜率；趋势强度；趋势效率；突破信号；区间位置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均为高值优先</w:t>
            </w:r>
          </w:p>
        </w:tc>
      </w:tr>
      <w:tr>
        <w:tc>
          <w:tcPr>
            <w:tcW w:type="dxa" w:w="1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个股</w:t>
            </w:r>
          </w:p>
        </w:tc>
        <w:tc>
          <w:tcPr>
            <w:tcW w:type="dxa" w:w="6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5日反转；10日反转；RSI强度；RSI反转；随机指标；回撤；下影线支撑；下轨突破</w:t>
            </w:r>
          </w:p>
        </w:tc>
        <w:tc>
          <w:tcPr>
            <w:tcW w:type="dxa" w:w="2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底层已处理反转方向；最终高值优先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策略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跳过期间动量；跳空溢价；日内收益；已实现波动率；ATR比率；区间波动比；收益偏度；收益峰度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波动/ATR/区间波动/峰度低值优先</w:t>
            </w:r>
          </w:p>
        </w:tc>
      </w:tr>
      <w:tr>
        <w:tc>
          <w:tcPr>
            <w:tcW w:type="dxa" w:w="1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量化</w:t>
            </w:r>
          </w:p>
        </w:tc>
        <w:tc>
          <w:tcPr>
            <w:tcW w:type="dxa" w:w="6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成交量比率；成交量Z分数；成交额活跃度；量价相关性；OBV斜率；收盘时序排名；成交量时序排名；下行波动率</w:t>
            </w:r>
          </w:p>
        </w:tc>
        <w:tc>
          <w:tcPr>
            <w:tcW w:type="dxa" w:w="2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下行波动率低值优先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风控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5日已实现波动率；10日已实现波动率；下行波动率；ATR比率；区间波动比；回撤；收益偏度；收益峰度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波动与峰度低值优先；回撤接近0更优</w:t>
            </w:r>
          </w:p>
        </w:tc>
      </w:tr>
    </w:tbl>
    <w:p>
      <w:pPr>
        <w:spacing w:after="20"/>
      </w:pPr>
    </w:p>
    <w:p>
      <w:pPr>
        <w:pStyle w:val="Heading2"/>
      </w:pPr>
      <w:r>
        <w:t>2.4 数据、时间和无前视约束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行情使用前复权日线，组合和HS300基准按照实际共同持有月份对齐。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请求区间开始前额外加载120个自然日，只用于因子与择时预热；收益仍从请求开始日计算。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月末信号用于次月持有，决策时点只读取当时可得数据，不使用未来收益。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财务和行业映射按可得日期处理；任何基准月份缺失都应明确失败，不能静默补零。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缓存键包含engine_version，代码升级后不会复用旧算法缓存。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03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第3章  特征函数、反事实回测与Shapley计量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把“某角色是否参与”定义为唯一实验变量，在统一数据、组合、成本和基准口径下执行全部角色联盟回测，以精确Shapley分摊交互贡献。</w:t>
      </w:r>
    </w:p>
    <w:p>
      <w:pPr>
        <w:pStyle w:val="Heading2"/>
      </w:pPr>
      <w:r>
        <w:t>3.1 特征函数定义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设五角色全集N={行业、个股、策略、量化、风控}。对任意角色子集S，先运行只启用S中角色的完整Pipeline，得到同期组合累计收益R_pipeline(S)；再减去与组合实际持有月份严格对齐的沪深300累计收益R_HS300，定义：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v(S) = R_pipeline(S) - R_HS300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空联盟解释为只持有基准，因此v(∅)=0。全集v(N)等于优化组合相对沪深300的完整超额收益。这样，Shapley有效性对应一个可直接核验的金融恒等式。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关键口径  </w:t>
      </w:r>
      <w:r>
        <w:rPr>
          <w:rFonts w:ascii="Calibri" w:hAnsi="Calibri" w:eastAsia="Noto Sans SC"/>
          <w:color w:val="18212B"/>
          <w:sz w:val="21"/>
        </w:rPr>
        <w:t>本版特征函数是“相对HS300的超额收益”，不是组合绝对收益。旧文档中把total_return直接作为v(S)的描述已经失效。</w:t>
      </w:r>
    </w:p>
    <w:p>
      <w:pPr>
        <w:pStyle w:val="Heading2"/>
      </w:pPr>
      <w:r>
        <w:t>3.2 角色缺席与控制变量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角色缺席并不意味着删除一列结果，而是跳过或中性替代其在Pipeline中的决策操作。例如，行业角色缺席时不施加行业选择；个股与量化均缺席时采用deterministic_hash_v1中性选择，避免结果依赖CSV或字典顺序；策略缺席时不主动降仓；风控缺席时不施加集中度投影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所有联盟共享同一数据范围、基准、调仓频率、交易成本、候选股票集合和引擎版本，仅参与角色集合不同。任一联盟失败即返回COALITION_BACKTEST_FAILED并终止正式归因，禁止用0填补。</w:t>
      </w:r>
    </w:p>
    <w:p>
      <w:pPr>
        <w:pStyle w:val="Heading2"/>
      </w:pPr>
      <w:r>
        <w:t>3.3 精确Shapley计算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φᵢ = Σ_{S⊆N\{i}} [ |S|!(n-|S|-1)! / n! ] · [ v(S∪{i}) - v(S) ]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五角色仅有2⁵=32个联盟，因此本项目采用全枚举而非蒙特卡洛近似。每个角色在所有可能加入顺序中的边际超额贡献被公平平均，角色间交互由Shapley权重自然分摊。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5" name="Picture 5" descr="Shapley全联盟回测流程" title="图3-1  32联盟反事实回测与精确Shapley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hapl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图3-1  32联盟反事实回测与精确Shapley流程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2300"/>
        <w:gridCol w:w="3000"/>
        <w:gridCol w:w="22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计算对象</w:t>
            </w:r>
          </w:p>
        </w:tc>
        <w:tc>
          <w:tcPr>
            <w:tcW w:type="dxa" w:w="30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2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完整组合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v(N)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直接回答策略整体表现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不能拆分角色贡献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Leave-One-Out</w:t>
            </w:r>
          </w:p>
        </w:tc>
        <w:tc>
          <w:tcPr>
            <w:tcW w:type="dxa" w:w="2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v(N)-v(N\{i})</w:t>
            </w:r>
          </w:p>
        </w:tc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直观、计算量低</w:t>
            </w:r>
          </w:p>
        </w:tc>
        <w:tc>
          <w:tcPr>
            <w:tcW w:type="dxa" w:w="2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只看完整组合附近，忽略其他联盟交互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精确Shapley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所有联盟的加权边际贡献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满足有效性并分摊交互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计算成本随角色数指数增长</w:t>
            </w:r>
          </w:p>
        </w:tc>
      </w:tr>
    </w:tbl>
    <w:p>
      <w:pPr>
        <w:spacing w:after="20"/>
      </w:pPr>
    </w:p>
    <w:p>
      <w:pPr>
        <w:pStyle w:val="Heading2"/>
      </w:pPr>
      <w:r>
        <w:t>3.4 优化后的组合构建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6" name="Picture 6" descr="组合构建流水线" title="图3-2  月度组合构建、持有与成本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图3-2  月度组合构建、持有与成本审计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行业角色先输出全市场股票排序，再按行业内排名最高的3只股票计算平均Borda得分，降低行业成分数量带来的规模偏差。个股角色和量化角色分别转换为排名百分位，以50%/50%联合Borda选出最终10只股票。候选不足时在目标行业内使用确定性中性顺序补足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风控不再采用“裁剪后整体归一化”的错误做法，而是进行单股与行业联合容量投影：行业不超过30%，单股不超过10%，相对权重尽可能保留；只有容量确实不足或策略主动防御时才保留现金。交易成本按实际单边换手率计算：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Cost_t = (commission_rate + slippage_rate) × one_way_turnover_t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换手同时考虑股票权重和现金权重变化。初次满仓建仓或完整换仓的单边换手率为100%，持仓不变时为0，不再每月固定扣除成本。</w:t>
      </w:r>
    </w:p>
    <w:p>
      <w:pPr>
        <w:pStyle w:val="Heading2"/>
      </w:pPr>
      <w:r>
        <w:t>3.5 金融不变量与审计输出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收益恒等式：excess_return = total_return - benchmark_return。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贡献有效性：Σφᵢ = excess_return，允许误差必须在数值容差内。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风险约束：任一股票≤10%，任一行业≤30%；策略降仓不得被风控重新归一化到满仓。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逐月诊断：输出行业、股票数、总仓位、择时仓位、单边换手率和交易成本。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可追溯标识：输出request_id、config_id、engine_version和结果来源。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04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第4章  Agent规划、客户方案生成与人机协同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Agent承担语义理解、配置建议和证据约束解释；确定性校验器与金融引擎掌握最终事实。所有配置先预览、后确认，失败时明确降级。</w:t>
      </w:r>
    </w:p>
    <w:p>
      <w:pPr>
        <w:pStyle w:val="Heading2"/>
      </w:pPr>
      <w:r>
        <w:t>4.1 Agent能力定位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五类投研角色首先是贡献计量对象，不等同于五个自由对话的大模型实例。当前主链中的Agent能力包括：把客户意图转为受约束因子配置建议、把自然语言查询整理为结构化回测计划、把可信证据转为可读解释。大模型不直接生成收益率、风险指标、Shapley值或最终应用比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2600"/>
        <w:gridCol w:w="2800"/>
        <w:gridCol w:w="21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Agent能力</w:t>
            </w:r>
          </w:p>
        </w:tc>
        <w:tc>
          <w:tcPr>
            <w:tcW w:type="dxa" w:w="26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因子配置Agent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偏好选项、自由文字、当前配置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白名单因子/模块参数补丁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自由创造因子；绕过边界；自动生效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规划Agent</w:t>
            </w:r>
          </w:p>
        </w:tc>
        <w:tc>
          <w:tcPr>
            <w:tcW w:type="dxa" w:w="2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自然语言或路演预设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结构化时间、基准、角色与调仓计划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直接计算金融指标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解读Agent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证据白名单与证据编号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带依据的摘要、风险提示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引用未知证据；承诺未来收益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五角色协商</w:t>
            </w:r>
          </w:p>
        </w:tc>
        <w:tc>
          <w:tcPr>
            <w:tcW w:type="dxa" w:w="2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贡献、证据轨、最终合成锚点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角色主张与确认建议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把协商结果自动执行</w:t>
            </w:r>
          </w:p>
        </w:tc>
      </w:tr>
    </w:tbl>
    <w:p>
      <w:pPr>
        <w:spacing w:after="20"/>
      </w:pPr>
    </w:p>
    <w:p>
      <w:pPr>
        <w:pStyle w:val="Heading2"/>
      </w:pPr>
      <w:r>
        <w:t>4.2 DeepSeek受约束配置闭环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7" name="Picture 7" descr="DeepSeek因子配置建议与人工确认闭环" title="图4-1  从客户偏好到已确认因子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g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图4-1  从客户偏好到已确认因子配置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用户通过稳健/均衡/进取、控制回撤/获取超额/行业轮动等快捷选项，或自由文字描述需求。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DeepSeek返回结构化建议，只能引用登记角色、40个因子及少量模块参数。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后端执行未知字段拒绝、数值有限性、参数范围、角色内归一化和单因子35%上限校验。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前端展示当前值、建议值、调整理由、模型来源、审计号和配置指纹；配置仍未进入回测。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用户确认后生成config_id和provenance；未修改项保持不变，恢复默认可随时撤销建议。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已确认factor_config随实时回测请求进入确定性引擎；预制模式只回放匹配的真实预跑结果。</w:t>
      </w:r>
    </w:p>
    <w:p>
      <w:pPr>
        <w:pStyle w:val="Heading2"/>
      </w:pPr>
      <w:r>
        <w:t>4.3 降级、重试与审计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API Key仅从服务端环境变量DEEPSEEK_API_KEY读取。调用采用有限重试；若JSON Schema响应格式不被支持，则降级到JSON Object，但不会从自由文本中用正则猜测JSON。超时、JSON错误、越界或模型不可用时，系统明确返回rule_fallback及原因，不把规则结果伪装成大模型结果。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每次建议记录独立audit_id、配置前后指纹、变更数量、来源、耗时和人工确认状态。日志不记录API Key、完整提示词、完整服务地址或原始错误正文，降低敏感信息泄露风险。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收敛条件  </w:t>
      </w:r>
      <w:r>
        <w:rPr>
          <w:rFonts w:ascii="Calibri" w:hAnsi="Calibri" w:eastAsia="Noto Sans SC"/>
          <w:color w:val="18212B"/>
          <w:sz w:val="21"/>
        </w:rPr>
        <w:t>Agent流程不是不断改参数直到历史收益最高，而是在配置合法、解释充分且经人工确认后进入回测。反复根据同一区间收益调参会造成样本内过拟合，系统应明确阻止这种叙述。</w:t>
      </w:r>
    </w:p>
    <w:p>
      <w:pPr>
        <w:pStyle w:val="Heading2"/>
      </w:pPr>
      <w:r>
        <w:t>4.4 四步自助体验与路演模式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400"/>
        <w:gridCol w:w="2800"/>
        <w:gridCol w:w="3000"/>
        <w:gridCol w:w="2160"/>
      </w:tblGrid>
      <w:tr>
        <w:trPr>
          <w:tblHeader w:val="true"/>
        </w:trPr>
        <w:tc>
          <w:tcPr>
            <w:tcW w:type="dxa" w:w="1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30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系统产出</w:t>
            </w:r>
          </w:p>
        </w:tc>
        <w:tc>
          <w:tcPr>
            <w:tcW w:type="dxa" w:w="2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下一步解锁条件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 描述需求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选择偏好或与Agent对话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结构化配置建议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建议生成成功</w:t>
            </w:r>
          </w:p>
        </w:tc>
      </w:tr>
      <w:tr>
        <w:tc>
          <w:tcPr>
            <w:tcW w:type="dxa" w:w="1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 确认方案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检查变更与理由并确认</w:t>
            </w:r>
          </w:p>
        </w:tc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已确认factor_config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人工确认完成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 回测理解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预制快速体验或实时回测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三方曲线、指标和贡献证据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回测结果有效</w:t>
            </w:r>
          </w:p>
        </w:tc>
      </w:tr>
      <w:tr>
        <w:tc>
          <w:tcPr>
            <w:tcW w:type="dxa" w:w="1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4 应用建议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进入五角色协商与双轨合成</w:t>
            </w:r>
          </w:p>
        </w:tc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最终建议与确认记录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治理责任人确认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路演默认推荐“使用预制数据快速体验”。预制包来自同一真实引擎的完整预跑，包含优化策略、严格旧参数基线和HS300同日期月度曲线；它不是Mock，也不会声称回放的是任意现场临时生成配置。实时回测适用于验证已确认的客户专属配置，耗时取决于数据和32联盟计算。</w:t>
      </w:r>
    </w:p>
    <w:p>
      <w:pPr>
        <w:pStyle w:val="Heading2"/>
      </w:pPr>
      <w:r>
        <w:t>4.5 证据白名单与可解释指标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回测结果进入解读Agent前，系统检查所有数值有限性、最大回撤范围、收益恒等式、角色权重合计、单角色50%上限和Shapley可加性。不一致字段被隔离并生成警告；可信字段生成E001等证据编号。涉及数字的模型结论必须引用合法证据编号，否则自动降级为确定性解释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前端每个核心指标提供“数据依据”：显示定义、公式、本次代入、时间区间、基准、后端字段、request_id、config_id和使用局限。这使页面上的22.67%、8.96%、1.24和-5.89%都能被追溯，而不是孤立展示。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05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第5章  贡献证据、双轨治理与人工确认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带符号Shapley用于解释角色对超额收益的边际影响；只有正向贡献进入证据轨建议权重，再与制度轨按6:4合成，最终由治理责任人确认。</w:t>
      </w:r>
    </w:p>
    <w:p>
      <w:pPr>
        <w:pStyle w:val="Heading2"/>
      </w:pPr>
      <w:r>
        <w:t>5.1 从带符号贡献到证据轨权重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role_breakdown.shapley_raw保留正负符号。正值说明该角色在所有联盟中的平均边际作用提高了组合超额收益，负值说明在当前区间与当前设定下形成拖累。负贡献不是程序错误，也不应通过更换样本或反复调参强行改成正值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证据轨weight仅使用正向Shapley，并设置单角色50%上限。若某角色先达到上限，剩余权重通过水位法分配给其他正贡献角色。因此，Shapley贡献占比与证据轨建议权重不是同一概念。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28148"/>
            <wp:docPr id="8" name="Picture 8" descr="五角色Shapley贡献和证据轨权重柱状图" title="图5-1  角色带符号贡献与证据轨建议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o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2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图5-1  角色带符号贡献与证据轨建议权重</w:t>
      </w:r>
    </w:p>
    <w:p>
      <w:pPr>
        <w:pStyle w:val="Heading2"/>
      </w:pPr>
      <w:r>
        <w:t>5.2 6:4双轨机制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Final_i = 60% × Institutional_i + 40% × Evidence_i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50226"/>
            <wp:docPr id="9" name="Picture 9" descr="6比4双轨治理流程" title="图5-2  制度轨、证据轨与最终合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govern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图5-2  制度轨、证据轨与最终合成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制度轨内部比例、证据轨内部比例和最终合成比例必须在前端明确区分。五角色协商处理的是已经包含60%制度轨和40%证据轨的最终合成锚点，而不是只对40%证据轨再次分配。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1900"/>
        <w:gridCol w:w="2400"/>
        <w:gridCol w:w="32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Shapley贡献</w:t>
            </w:r>
          </w:p>
        </w:tc>
        <w:tc>
          <w:tcPr>
            <w:tcW w:type="dxa" w:w="2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证据轨内部权重</w:t>
            </w:r>
          </w:p>
        </w:tc>
        <w:tc>
          <w:tcPr>
            <w:tcW w:type="dxa" w:w="32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制度轨等权时最终比例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行业分析师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+19.23%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50.00%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32.00%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个股分析师</w:t>
            </w:r>
          </w:p>
        </w:tc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-5.26%</w:t>
            </w:r>
          </w:p>
        </w:tc>
        <w:tc>
          <w:tcPr>
            <w:tcW w:type="dxa" w:w="2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  <w:tc>
          <w:tcPr>
            <w:tcW w:type="dxa" w:w="3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12.00%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策略分析师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+2.98%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50.00%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32.00%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量化分析师</w:t>
            </w:r>
          </w:p>
        </w:tc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-6.87%</w:t>
            </w:r>
          </w:p>
        </w:tc>
        <w:tc>
          <w:tcPr>
            <w:tcW w:type="dxa" w:w="2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  <w:tc>
          <w:tcPr>
            <w:tcW w:type="dxa" w:w="3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12.00%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风控分析师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-1.12%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12.00%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合计</w:t>
            </w:r>
          </w:p>
        </w:tc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+8.96%</w:t>
            </w:r>
          </w:p>
        </w:tc>
        <w:tc>
          <w:tcPr>
            <w:tcW w:type="dxa" w:w="2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100.00%</w:t>
            </w:r>
          </w:p>
        </w:tc>
        <w:tc>
          <w:tcPr>
            <w:tcW w:type="dxa" w:w="3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100.00%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解释示例  </w:t>
      </w:r>
      <w:r>
        <w:rPr>
          <w:rFonts w:ascii="Calibri" w:hAnsi="Calibri" w:eastAsia="Noto Sans SC"/>
          <w:color w:val="18212B"/>
          <w:sz w:val="21"/>
        </w:rPr>
        <w:t>行业角色的+19.23%大于组合整体+8.96%，是因为个股、量化和风控的负边际贡献抵消了部分行业与策略的正贡献。这正是保留带符号Shapley而不是只看百分比排名的价值。</w:t>
      </w:r>
    </w:p>
    <w:p>
      <w:pPr>
        <w:pStyle w:val="Heading2"/>
      </w:pPr>
      <w:r>
        <w:t>5.3 五角色协商与人工确认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协商层读取角色贡献、证据轨权重和最终合成锚点，各角色围绕证据陈述主张。行业角色可以说明其主要正贡献来源；负贡献角色可以提出市场阶段、约束成本或后续复盘计划；制度轨确保即使证据轨为0，角色在最终方案中通常仍保留基础份额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最终确认记录应包含原方案、纯证据方案、合成方案、协商摘要、确认人、时间和版本。系统只输出可供治理使用的建议，不直接执行预算、研究资源、项目机会、数据/算力额度或其他资源的划拨。</w:t>
      </w:r>
    </w:p>
    <w:p>
      <w:pPr>
        <w:pStyle w:val="Heading2"/>
      </w:pPr>
      <w:r>
        <w:t>5.4 适用的广义价值分配场景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投研预算：根据角色贡献与制度要求调整下一周期研究预算。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研究资源：分配数据订阅、算力、外部专家和调研额度。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项目机会：决定重点课题、产品孵化和跨团队协作机会。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组织复盘：识别当前市场状态下的正向驱动和负向拖累，形成改进计划。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治理审计：保留算法证据、协商过程和人工确认记录，支持事后复核。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06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第6章  实验结果、收益修复与工程验证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本章报告优化策略、严格旧参数基线和HS300的真实同口径结果，同时解释29.51%与1.43%两种历史结果为何都不能作为当前可信基线。</w:t>
      </w:r>
    </w:p>
    <w:p>
      <w:pPr>
        <w:pStyle w:val="Heading2"/>
      </w:pPr>
      <w:r>
        <w:t>6.1 主实验设置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请求ID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optimized_diversified_defensive_v4_20260827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配置ID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diversified_defensive_v4 / version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区间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2024-07-01 至 2025-06-30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基准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沪深300，同实际持有月份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股票与交易日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298只股票；241个有效交易日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调仓与持仓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月度调仓；12个月均为10只股票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成本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实际单边换手率 × 0.20%综合费率与滑点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贡献计量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31个非空联盟 + 1个空联盟；精确Shapley</w:t>
            </w:r>
          </w:p>
        </w:tc>
      </w:tr>
    </w:tbl>
    <w:p>
      <w:pPr>
        <w:spacing w:after="20"/>
      </w:pPr>
    </w:p>
    <w:p>
      <w:pPr>
        <w:pStyle w:val="Heading2"/>
      </w:pPr>
      <w:r>
        <w:t>6.2 三方案表现对比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71255"/>
            <wp:docPr id="10" name="Picture 10" descr="2024年7月至2025年6月三条累计收益曲线" title="图6-1  优化策略、严格旧参数基线与沪深300累计收益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tur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7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图6-1  优化策略、严格旧参数基线与沪深300累计收益路径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500"/>
        <w:gridCol w:w="2286"/>
        <w:gridCol w:w="2287"/>
        <w:gridCol w:w="2287"/>
      </w:tblGrid>
      <w:tr>
        <w:trPr>
          <w:tblHeader w:val="true"/>
        </w:trPr>
        <w:tc>
          <w:tcPr>
            <w:tcW w:type="dxa" w:w="2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86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优化策略</w:t>
            </w:r>
          </w:p>
        </w:tc>
        <w:tc>
          <w:tcPr>
            <w:tcW w:type="dxa" w:w="22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严格旧参数基线</w:t>
            </w:r>
          </w:p>
        </w:tc>
        <w:tc>
          <w:tcPr>
            <w:tcW w:type="dxa" w:w="22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沪深300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累计收益</w:t>
            </w:r>
          </w:p>
        </w:tc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22.67%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9.30%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13.70%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相对沪深300超额</w:t>
            </w:r>
          </w:p>
        </w:tc>
        <w:tc>
          <w:tcPr>
            <w:tcW w:type="dxa" w:w="22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+8.96%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-4.41%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年化夏普比率</w:t>
            </w:r>
          </w:p>
        </w:tc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1.24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0.54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0.51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最大回撤</w:t>
            </w:r>
          </w:p>
        </w:tc>
        <w:tc>
          <w:tcPr>
            <w:tcW w:type="dxa" w:w="22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-5.89%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-9.10%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-6.15%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优化策略相对严格旧参数基线累计收益提高13.37个百分点，同时最大回撤从-9.10%收窄到-5.89%。三条曲线均由各自真实月收益连续复利得到，不使用期末指标倒推过程数据。</w:t>
      </w:r>
    </w:p>
    <w:p>
      <w:pPr>
        <w:pStyle w:val="Heading2"/>
      </w:pPr>
      <w:r>
        <w:t>6.3 收益暴跌的根因与修复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700"/>
        <w:gridCol w:w="1300"/>
        <w:gridCol w:w="4300"/>
        <w:gridCol w:w="2060"/>
      </w:tblGrid>
      <w:tr>
        <w:trPr>
          <w:tblHeader w:val="true"/>
        </w:trPr>
        <w:tc>
          <w:tcPr>
            <w:tcW w:type="dxa" w:w="17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显示结果</w:t>
            </w:r>
          </w:p>
        </w:tc>
        <w:tc>
          <w:tcPr>
            <w:tcW w:type="dxa" w:w="4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2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旧高收益版本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约29.51%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10只股票先裁剪至5%，随后整体归一化又回到约10%；风控上限实际失效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不应作为有效风控下可信基线</w:t>
            </w:r>
          </w:p>
        </w:tc>
      </w:tr>
      <w:tr>
        <w:tc>
          <w:tcPr>
            <w:tcW w:type="dxa" w:w="17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严格修复初版</w:t>
            </w:r>
          </w:p>
        </w:tc>
        <w:tc>
          <w:tcPr>
            <w:tcW w:type="dxa" w:w="1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约1.43%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10只×5%使总股票容量最多50%；另有首月缺失、候选稀疏和固定扣费</w:t>
            </w:r>
          </w:p>
        </w:tc>
        <w:tc>
          <w:tcPr>
            <w:tcW w:type="dxa" w:w="2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收益被多重实现问题压低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当前v7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22.67%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10%单股上限、4行业、联合排序、120日预热、实际换手成本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当前可复现主结果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本次修复没有恢复错误归一化，也没有把高收益数字写死。核心做法是让约束参数与组合规模匹配，并修复行业规模偏差、个股/量化职责覆盖、首月预热、候选补足和成本口径。</w:t>
      </w:r>
    </w:p>
    <w:p>
      <w:pPr>
        <w:pStyle w:val="Heading2"/>
      </w:pPr>
      <w:r>
        <w:t>6.4 月度组合审计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4363"/>
            <wp:docPr id="11" name="Picture 11" descr="12个月组合仓位换手和交易成本" title="图6-2  逐月仓位、换手率与交易成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ud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图6-2  逐月仓位、换手率与交易成本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12个月每月均持有10只股票，实际股票仓位为40%至100%，平均单边换手率约65.62%，模型累计交易成本约1.57%。低于100%的月份来自行业容量、集中度和弱趋势防御，而不是候选股票不足。</w:t>
      </w:r>
    </w:p>
    <w:p>
      <w:pPr>
        <w:pStyle w:val="Heading2"/>
      </w:pPr>
      <w:r>
        <w:t>6.5 跨区间稳健性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75362"/>
            <wp:docPr id="12" name="Picture 12" descr="跨区间收益和超额收益柱状图" title="图6-3  四个市场区间的组合、基准与超额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robustn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图6-3  四个市场区间的组合、基准与超额收益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800"/>
        <w:gridCol w:w="2186"/>
        <w:gridCol w:w="2187"/>
        <w:gridCol w:w="2187"/>
      </w:tblGrid>
      <w:tr>
        <w:trPr>
          <w:tblHeader w:val="true"/>
        </w:trPr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区间</w:t>
            </w:r>
          </w:p>
        </w:tc>
        <w:tc>
          <w:tcPr>
            <w:tcW w:type="dxa" w:w="2186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优化组合</w:t>
            </w:r>
          </w:p>
        </w:tc>
        <w:tc>
          <w:tcPr>
            <w:tcW w:type="dxa" w:w="21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沪深300</w:t>
            </w:r>
          </w:p>
        </w:tc>
        <w:tc>
          <w:tcPr>
            <w:tcW w:type="dxa" w:w="21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超额收益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2022-07 至 2022-12</w:t>
            </w:r>
          </w:p>
        </w:tc>
        <w:tc>
          <w:tcPr>
            <w:tcW w:type="dxa" w:w="2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-13.52%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-13.68%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+0.15%</w:t>
            </w:r>
          </w:p>
        </w:tc>
      </w:tr>
      <w:tr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2023-01 至 2023-12</w:t>
            </w:r>
          </w:p>
        </w:tc>
        <w:tc>
          <w:tcPr>
            <w:tcW w:type="dxa" w:w="21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-12.57%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-11.38%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-1.19%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2024-01 至 2024-06</w:t>
            </w:r>
          </w:p>
        </w:tc>
        <w:tc>
          <w:tcPr>
            <w:tcW w:type="dxa" w:w="2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-9.64%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+0.89%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-10.53%</w:t>
            </w:r>
          </w:p>
        </w:tc>
      </w:tr>
      <w:tr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2024-07 至 2025-06</w:t>
            </w:r>
          </w:p>
        </w:tc>
        <w:tc>
          <w:tcPr>
            <w:tcW w:type="dxa" w:w="21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+22.67%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+13.70%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+8.96%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结论边界  </w:t>
      </w:r>
      <w:r>
        <w:rPr>
          <w:rFonts w:ascii="Calibri" w:hAnsi="Calibri" w:eastAsia="Noto Sans SC"/>
          <w:color w:val="18212B"/>
          <w:sz w:val="21"/>
        </w:rPr>
        <w:t>四个区间中只有两个取得正超额，2024年上半年明显跑输。路演区间说明当前方法能够在特定市场状态下取得较好表现，但不能证明策略在所有时期稳定跑赢。</w:t>
      </w:r>
    </w:p>
    <w:p>
      <w:pPr>
        <w:pStyle w:val="Heading2"/>
      </w:pPr>
      <w:r>
        <w:t>6.6 角色贡献结果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主实验中，行业分析师贡献+19.23%，策略分析师贡献+2.98%；个股、量化和风控分别为-5.26%、-6.87%和-1.12%。五项合计+8.96%，与组合超额收益一致。角色贡献随市场阶段变化是正常现象，负贡献应进入复盘和敏感性分析，而不是被隐藏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28148"/>
            <wp:docPr id="13" name="Picture 13" descr="主实验五角色贡献与证据轨权重" title="图6-4  主实验角色Shapley贡献与证据轨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o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2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图6-4  主实验角色Shapley贡献与证据轨权重</w:t>
      </w:r>
    </w:p>
    <w:p>
      <w:pPr>
        <w:pStyle w:val="Heading2"/>
      </w:pPr>
      <w:r>
        <w:t>6.7 工程验证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14" name="Picture 14" descr="AlphaSplit验证证据链" title="图6-5  从单元测试到浏览器验收的验证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valid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图6-5  从单元测试到浏览器验收的验证链路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900"/>
        <w:gridCol w:w="2100"/>
        <w:gridCol w:w="5360"/>
      </w:tblGrid>
      <w:tr>
        <w:trPr>
          <w:tblHeader w:val="true"/>
        </w:trPr>
        <w:tc>
          <w:tcPr>
            <w:tcW w:type="dxa" w:w="19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验证层</w:t>
            </w:r>
          </w:p>
        </w:tc>
        <w:tc>
          <w:tcPr>
            <w:tcW w:type="dxa" w:w="21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3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覆盖重点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Python自动化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97项全部通过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因子配置、风控投影、换手成本、Agent、API、产品文案</w:t>
            </w:r>
          </w:p>
        </w:tc>
      </w:tr>
      <w:tr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前端静态</w:t>
            </w:r>
          </w:p>
        </w:tc>
        <w:tc>
          <w:tcPr>
            <w:tcW w:type="dxa" w:w="2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node --check通过</w:t>
            </w:r>
          </w:p>
        </w:tc>
        <w:tc>
          <w:tcPr>
            <w:tcW w:type="dxa" w:w="53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JavaScript语法；资源引用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补丁质量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git diff --check通过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无补丁格式错误</w:t>
            </w:r>
          </w:p>
        </w:tc>
      </w:tr>
      <w:tr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完整金融运行</w:t>
            </w:r>
          </w:p>
        </w:tc>
        <w:tc>
          <w:tcPr>
            <w:tcW w:type="dxa" w:w="2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两次32联盟成功</w:t>
            </w:r>
          </w:p>
        </w:tc>
        <w:tc>
          <w:tcPr>
            <w:tcW w:type="dxa" w:w="53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优化策略与严格旧参数基线；可加性通过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跨区间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四个窗口完成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正负收益和正负超额均保留</w:t>
            </w:r>
          </w:p>
        </w:tc>
      </w:tr>
      <w:tr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浏览器验收</w:t>
            </w:r>
          </w:p>
        </w:tc>
        <w:tc>
          <w:tcPr>
            <w:tcW w:type="dxa" w:w="2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通过</w:t>
            </w:r>
          </w:p>
        </w:tc>
        <w:tc>
          <w:tcPr>
            <w:tcW w:type="dxa" w:w="53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默认日期、22.67%、9.30%、13.70%及三条曲线</w:t>
            </w:r>
          </w:p>
        </w:tc>
      </w:tr>
    </w:tbl>
    <w:p>
      <w:pPr>
        <w:spacing w:after="20"/>
      </w:pPr>
    </w:p>
    <w:p>
      <w:pPr>
        <w:pStyle w:val="Heading2"/>
      </w:pPr>
      <w:r>
        <w:t>6.8 局限与下一步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角色因子仍是岗位决策代理，需要机构脱敏决策日志进行校准。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当前股票多头和HS300基准适用范围有限，应扩展多资产与其他基准。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完整Shapley随角色数指数增长，角色扩展后需报告近似误差与排序稳定性。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客户专属配置需做滚动窗口、样本外和压力场景验证，不能只看单一区间。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实时回测仍是同步长任务，后续应增加任务队列、取消、超时和进度持久化。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前端应继续增加端到端自动化回归，确保按钮链路、状态恢复和移动端布局长期稳定。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APPENDIX A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附录A  关键接口与数据契约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接口按规划、配置、回测、解释、协商和确认分层；所有写入回测的配置必须经过结构化模型与白名单校验。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3000"/>
        <w:gridCol w:w="3300"/>
        <w:gridCol w:w="3060"/>
      </w:tblGrid>
      <w:tr>
        <w:trPr>
          <w:tblHeader w:val="true"/>
        </w:trPr>
        <w:tc>
          <w:tcPr>
            <w:tcW w:type="dxa" w:w="30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关键输出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GET /api/health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服务、模式和引擎可用性检查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status、mode、version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GET /api/agent/factor-config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返回五角色、40因子和默认配置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roles、default_config、agent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/api/agent/factor-config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生成受约束配置变更预览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changes、config、source、audit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/api/agent/plan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自然语言/预设转结构化回测计划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query、summary、warnings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/api/agent/interpret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基于证据白名单解释回测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summary、evidence_refs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/api/agent/pipeline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串联规划、回测和解释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plan、backtest、interpretation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/api/backtest/run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运行已确认配置的完整回测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overview、role_breakdown、diagnostics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GET /api/backtest/demo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返回真实预跑官方演示包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comparison、results、source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/api/negotiate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五角色基于最终合成锚点协商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claims、proposal、status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/api/confirm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人工确认最终应用建议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confirmed、audit_record</w:t>
            </w:r>
          </w:p>
        </w:tc>
      </w:tr>
    </w:tbl>
    <w:p>
      <w:pPr>
        <w:spacing w:after="20"/>
      </w:pPr>
    </w:p>
    <w:p>
      <w:pPr>
        <w:pStyle w:val="Heading2"/>
      </w:pPr>
      <w:r>
        <w:t>A.1 核心回测结果字段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当前主实验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total_return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组合月收益连续复利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0.226659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benchmark_return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同期HS300月收益连续复利</w:t>
            </w:r>
          </w:p>
        </w:tc>
        <w:tc>
          <w:tcPr>
            <w:tcW w:type="dxa" w:w="25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0.137050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excess_return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组合累计收益 - 基准累计收益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0.089610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sharpe_ratio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月收益风险调整后的年化指标</w:t>
            </w:r>
          </w:p>
        </w:tc>
        <w:tc>
          <w:tcPr>
            <w:tcW w:type="dxa" w:w="25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1.235432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max_drawdown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累计净值相对历史高点的最大跌幅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-0.058943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shapley_raw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角色对超额收益的带符号平均边际贡献</w:t>
            </w:r>
          </w:p>
        </w:tc>
        <w:tc>
          <w:tcPr>
            <w:tcW w:type="dxa" w:w="25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五角色合计0.089610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weight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仅正贡献、单角色50%上限后的证据轨权重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行业50%；策略50%</w:t>
            </w:r>
          </w:p>
        </w:tc>
      </w:tr>
    </w:tbl>
    <w:p>
      <w:pPr>
        <w:spacing w:after="20"/>
      </w:pPr>
    </w:p>
    <w:p>
      <w:pPr>
        <w:pStyle w:val="Heading2"/>
      </w:pPr>
      <w:r>
        <w:t>A.2 默认模块参数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2800"/>
        <w:gridCol w:w="1800"/>
        <w:gridCol w:w="29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9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允许范围/说明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行业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top_industries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4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2至6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target_vol</w:t>
            </w:r>
          </w:p>
        </w:tc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0.15</w:t>
            </w:r>
          </w:p>
        </w:tc>
        <w:tc>
          <w:tcPr>
            <w:tcW w:type="dxa" w:w="29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0.05至0.30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lookback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10至60个交易日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defensive_position_cap</w:t>
            </w:r>
          </w:p>
        </w:tc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0.50</w:t>
            </w:r>
          </w:p>
        </w:tc>
        <w:tc>
          <w:tcPr>
            <w:tcW w:type="dxa" w:w="29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0.20至1.00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max_single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0.01至0.20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max_industry</w:t>
            </w:r>
          </w:p>
        </w:tc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0.30</w:t>
            </w:r>
          </w:p>
        </w:tc>
        <w:tc>
          <w:tcPr>
            <w:tcW w:type="dxa" w:w="29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0.10至0.60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stop_loss_monthly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-0.05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-0.30至-0.01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APPENDIX B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附录B  复现、测试与运行说明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所有命令均在项目根目录执行。正式路演使用真实预跑演示包；实时回测须先重启服务以加载当前Python代码。</w:t>
      </w:r>
    </w:p>
    <w:p>
      <w:pPr>
        <w:pStyle w:val="Heading2"/>
      </w:pPr>
      <w:r>
        <w:t>B.1 前台启动</w:t>
      </w:r>
    </w:p>
    <w:p>
      <w:pPr>
        <w:keepLines/>
        <w:spacing w:before="100" w:after="160"/>
        <w:ind w:left="202" w:right="115"/>
        <w:shd w:fill="F3F7FA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PowerShell  </w:t>
      </w:r>
      <w:r>
        <w:rPr>
          <w:rFonts w:ascii="Calibri" w:hAnsi="Calibri" w:eastAsia="Noto Sans SC"/>
          <w:color w:val="18212B"/>
          <w:sz w:val="21"/>
        </w:rPr>
        <w:t>cd F:\wills\competitions\AlphaSplit</w:t>
        <w:br/>
        <w:t>.\venv\Scripts\Activate.ps1</w:t>
        <w:br/>
        <w:t>python -m engine.api.main --mode mock --host 127.0.0.1 --port 8000</w:t>
      </w:r>
    </w:p>
    <w:p>
      <w:pPr>
        <w:pStyle w:val="Heading2"/>
      </w:pPr>
      <w:r>
        <w:t>B.2 自动化测试</w:t>
      </w:r>
    </w:p>
    <w:p>
      <w:pPr>
        <w:keepLines/>
        <w:spacing w:before="100" w:after="160"/>
        <w:ind w:left="202" w:right="115"/>
        <w:shd w:fill="F3F7FA"/>
        <w:pBdr>
          <w:left w:val="single" w:sz="18" w:color="2E8B72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PowerShell  </w:t>
      </w:r>
      <w:r>
        <w:rPr>
          <w:rFonts w:ascii="Calibri" w:hAnsi="Calibri" w:eastAsia="Noto Sans SC"/>
          <w:color w:val="18212B"/>
          <w:sz w:val="21"/>
        </w:rPr>
        <w:t>python -m unittest discover -s tests -v</w:t>
        <w:br/>
        <w:t>node --check engine/web/app.js</w:t>
        <w:br/>
        <w:t>git diff --check</w:t>
      </w:r>
    </w:p>
    <w:p>
      <w:pPr>
        <w:pStyle w:val="Heading2"/>
      </w:pPr>
      <w:r>
        <w:t>B.3 策略诊断与演示包</w:t>
      </w:r>
    </w:p>
    <w:p>
      <w:pPr>
        <w:keepLines/>
        <w:spacing w:before="100" w:after="160"/>
        <w:ind w:left="202" w:right="115"/>
        <w:shd w:fill="F3F7FA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PowerShell  </w:t>
      </w:r>
      <w:r>
        <w:rPr>
          <w:rFonts w:ascii="Calibri" w:hAnsi="Calibri" w:eastAsia="Noto Sans SC"/>
          <w:color w:val="18212B"/>
          <w:sz w:val="21"/>
        </w:rPr>
        <w:t>python scripts/evaluate_backtest_strategy.py</w:t>
        <w:br/>
        <w:t>python scripts/gen_backtest_demo.py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演示包engine/web/demo/backtest_demo.json同时保存优化策略、严格旧参数基线和HS300的月度路径，并记录customer_request_id、default_request_id、config_id与same_scope。前端应标注“真实预跑结果回放”，避免与实时临时配置混淆。</w:t>
      </w:r>
    </w:p>
    <w:p>
      <w:pPr>
        <w:pStyle w:val="Heading2"/>
      </w:pPr>
      <w:r>
        <w:t>B.4 路演推荐顺序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展示四步主线并说明Agent不直接生成金融数值。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保留默认偏好，生成配置建议，展示调整前后和人工确认门槛。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选择预制数据快速体验，展示优化策略、严格基线和HS300三条曲线。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点击指标依据，解释累计收益、超额、夏普、回撤和Shapley来源。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进入应用建议，明确制度轨60%、证据轨40%和最终合成比例。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启动五角色协商，最后由人工确认，强调系统是决策支持而非自动裁决。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REFERENCES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参考资料与版本来源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本文件综合四份团队章节稿，并以2026年8月27日工作区代码、优化记录和真实演示包作为最终真实性基线。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AlphaSplit技术文档《第1章：问题定义与解题思路》。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AlphaSplit技术文档《2、3、5、6章》章节稿。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AlphaSplit《第4章：多智能体回测规划流程——真实性对齐版》。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AlphaSplit《技术文档高玉伟章节完善版 v0.4》。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AlphaSplit《代码优化记录：20260827 回测收益与组合构建修复》。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工作区源码：backtest/query_engine.py、risk_control_module.py、factor_config.py、timing_module.py。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工作区演示包：engine/web/demo/backtest_demo.json。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L. S. Shapley. A Value for n-Person Games. 1953.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Brinson, Hood, Beebower. Determinants of Portfolio Performance. 1986.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Portfolio Performance Attribution via Shapley Value, arXiv:2102.05799。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版本说明  </w:t>
      </w:r>
      <w:r>
        <w:rPr>
          <w:rFonts w:ascii="Calibri" w:hAnsi="Calibri" w:eastAsia="Noto Sans SC"/>
          <w:color w:val="18212B"/>
          <w:sz w:val="21"/>
        </w:rPr>
        <w:t>若本文件与更早章节稿在收益率、风控参数、特征函数、Agent提供商、测试数量或接口字段上存在冲突，以当前源码、portfolio-v7-20260827和官方演示包为准。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81" w:right="1440" w:bottom="1181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"/>
        <w:color w:val="5F6B78"/>
        <w:sz w:val="17"/>
      </w:rPr>
      <w:t xml:space="preserve">第 </w:t>
    </w:r>
    <w:fldSimple w:instr="PAGE">
      <w:r>
        <w:t>1</w:t>
      </w:r>
    </w:fldSimple>
    <w:r>
      <w:rPr>
        <w:rFonts w:ascii="Calibri" w:hAnsi="Calibri" w:eastAsia="Noto Sans SC"/>
        <w:color w:val="5F6B78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color="D7E1E8"/>
      </w:pBdr>
    </w:pPr>
    <w:r>
      <w:rPr>
        <w:rFonts w:ascii="Calibri" w:hAnsi="Calibri" w:eastAsia="Noto Sans SC"/>
        <w:b/>
        <w:color w:val="5F6B78"/>
        <w:sz w:val="17"/>
      </w:rPr>
      <w:t>AlphaSplit  |  投研贡献计量与广义价值分配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 w:eastAsia="Noto Sans SC"/>
      <w:color w:val="18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9" w:lineRule="auto"/>
      <w:outlineLvl w:val="0"/>
    </w:pPr>
    <w:rPr>
      <w:rFonts w:asciiTheme="majorHAnsi" w:eastAsiaTheme="majorEastAsia" w:hAnsiTheme="majorHAnsi" w:cstheme="majorBidi" w:ascii="Calibri" w:hAnsi="Calibri" w:eastAsia="Noto Sans SC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Calibri" w:hAnsi="Calibri" w:eastAsia="Noto Sans SC"/>
      <w:b/>
      <w:bCs/>
      <w:color w:val="2457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 w:ascii="Calibri" w:hAnsi="Calibri" w:eastAsia="Noto Sans SC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9" w:lineRule="auto" w:before="0"/>
      <w:contextualSpacing/>
    </w:pPr>
    <w:rPr>
      <w:rFonts w:asciiTheme="majorHAnsi" w:eastAsiaTheme="majorEastAsia" w:hAnsiTheme="majorHAnsi" w:cstheme="majorBidi" w:ascii="Calibri" w:hAnsi="Calibri" w:eastAsia="Noto Sans SC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59" w:lineRule="auto"/>
    </w:pPr>
    <w:rPr>
      <w:rFonts w:asciiTheme="majorHAnsi" w:eastAsiaTheme="majorEastAsia" w:hAnsiTheme="majorHAnsi" w:cstheme="majorBidi" w:ascii="Calibri" w:hAnsi="Calibri" w:eastAsia="Noto Sans SC"/>
      <w:b/>
      <w:i/>
      <w:iCs/>
      <w:color w:val="5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160"/>
    </w:pPr>
    <w:rPr>
      <w:rFonts w:ascii="Calibri" w:hAnsi="Calibri" w:eastAsia="Noto Sans SC"/>
      <w:b/>
      <w:bCs/>
      <w:color w:val="5F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AlphaSplit 投研贡献计量与广义价值分配平台：完整技术文档</dc:title>
  <dc:subject>金融科技竞赛项目完整技术文档</dc:subject>
  <dc:creator>AlphaSplit 项目组</dc:creator>
  <cp:keywords>AlphaSplit, Shapley, 反事实回测, Agent, 因子配置, 广义价值分配</cp:keywords>
  <dc:description>基于 portfolio-v7-20260827 与 2026-08-27 真实回测结果整合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