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30178" w14:textId="6BC54E38" w:rsidR="001D3C86" w:rsidRDefault="001D3C86" w:rsidP="0004079E">
      <w:pPr>
        <w:spacing w:after="24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Análisis del artículo</w:t>
      </w:r>
    </w:p>
    <w:p w14:paraId="7F99731C" w14:textId="72F198F7" w:rsidR="001D3C86" w:rsidRPr="001D3C86" w:rsidRDefault="001D3C86" w:rsidP="000A09AE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1D3C86">
        <w:rPr>
          <w:rFonts w:ascii="Times New Roman" w:hAnsi="Times New Roman" w:cs="Times New Roman"/>
          <w:color w:val="000000" w:themeColor="text1"/>
          <w:sz w:val="40"/>
          <w:szCs w:val="40"/>
        </w:rPr>
        <w:t>General Auction Mechanism for Search Advertising</w:t>
      </w:r>
    </w:p>
    <w:p w14:paraId="69F4623C" w14:textId="77777777" w:rsidR="0004079E" w:rsidRPr="0004079E" w:rsidRDefault="0004079E" w:rsidP="0004079E">
      <w:pPr>
        <w:spacing w:after="24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04079E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Autor: Guillem Barta </w:t>
      </w:r>
      <w:proofErr w:type="spellStart"/>
      <w:r w:rsidRPr="0004079E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Gonzàlez</w:t>
      </w:r>
      <w:proofErr w:type="spellEnd"/>
    </w:p>
    <w:p w14:paraId="7F28145F" w14:textId="77777777" w:rsidR="001D3C86" w:rsidRPr="0004079E" w:rsidRDefault="001D3C86" w:rsidP="0004079E">
      <w:pPr>
        <w:spacing w:after="240" w:line="240" w:lineRule="auto"/>
        <w:jc w:val="center"/>
        <w:rPr>
          <w:rFonts w:ascii="Times New Roman" w:hAnsi="Times New Roman" w:cs="Times New Roman"/>
          <w:color w:val="000000" w:themeColor="text1"/>
          <w:sz w:val="12"/>
          <w:szCs w:val="12"/>
          <w:lang w:val="en-US"/>
        </w:rPr>
      </w:pPr>
    </w:p>
    <w:p w14:paraId="4B4E6507" w14:textId="55DC4AA2" w:rsidR="000A09AE" w:rsidRDefault="005D2761" w:rsidP="000A09AE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artículo investiga sobre cómo </w:t>
      </w:r>
      <w:r w:rsidR="00006D4B"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mejorar la asignación de </w:t>
      </w:r>
      <w:r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>los anuncios en los motores de búsqueda</w:t>
      </w:r>
      <w:r w:rsidR="00006D4B"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cómo Google o Bing. Esto se consigue</w:t>
      </w:r>
      <w:r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asignando </w:t>
      </w:r>
      <w:r w:rsidR="00006D4B"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>una subasta que relaciona a editores con anunciantes, y dónde el objetivo radica en diseñar algoritmos de subasta que beneficien a todas las partes</w:t>
      </w:r>
      <w:r w:rsidR="006C4A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[3]</w:t>
      </w:r>
      <w:r w:rsidR="002C6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así que como hemos visto a lo largo del curso, se trata de un algoritmo de maximización de beneficios para todas las partes, definidos según el tráfico que recibe el </w:t>
      </w:r>
      <w:proofErr w:type="spellStart"/>
      <w:r w:rsidR="002C69A0">
        <w:rPr>
          <w:rFonts w:ascii="Times New Roman" w:hAnsi="Times New Roman" w:cs="Times New Roman"/>
          <w:color w:val="000000" w:themeColor="text1"/>
          <w:sz w:val="24"/>
          <w:szCs w:val="24"/>
        </w:rPr>
        <w:t>anúncio</w:t>
      </w:r>
      <w:proofErr w:type="spellEnd"/>
      <w:r w:rsidR="006C4AE3">
        <w:rPr>
          <w:rFonts w:ascii="Times New Roman" w:hAnsi="Times New Roman" w:cs="Times New Roman"/>
          <w:color w:val="000000" w:themeColor="text1"/>
          <w:sz w:val="24"/>
          <w:szCs w:val="24"/>
        </w:rPr>
        <w:t>, ya sea por clics o por visualizaciones</w:t>
      </w:r>
      <w:r w:rsidR="00006D4B"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>. Los autores proponen un modelo que amplía otros algoritmos de subasta, cómo el “</w:t>
      </w:r>
      <w:proofErr w:type="spellStart"/>
      <w:r w:rsidR="00006D4B"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>Vickerey</w:t>
      </w:r>
      <w:proofErr w:type="spellEnd"/>
      <w:r w:rsidR="00006D4B"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>-Clarke-</w:t>
      </w:r>
      <w:proofErr w:type="spellStart"/>
      <w:r w:rsidR="00006D4B"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>Groves</w:t>
      </w:r>
      <w:proofErr w:type="spellEnd"/>
      <w:r w:rsidR="00006D4B"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>” (VCG) y el “</w:t>
      </w:r>
      <w:proofErr w:type="spellStart"/>
      <w:r w:rsidR="00006D4B"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>Generalized</w:t>
      </w:r>
      <w:proofErr w:type="spellEnd"/>
      <w:r w:rsidR="00006D4B"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06D4B"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>Second</w:t>
      </w:r>
      <w:proofErr w:type="spellEnd"/>
      <w:r w:rsidR="00006D4B"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Price</w:t>
      </w:r>
      <w:r w:rsidR="00006D4B"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006D4B"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(GS</w:t>
      </w:r>
      <w:r w:rsidR="002C6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P). </w:t>
      </w:r>
      <w:r w:rsidR="002C69A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="000A09AE" w:rsidRPr="000A09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stos métodos tradicionales se reducen hasta cierto punto en calcular un emparejamiento estable más fuerte de postores</w:t>
      </w:r>
      <w:r w:rsidR="002C69A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así que s</w:t>
      </w:r>
      <w:r w:rsidR="000A09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 </w:t>
      </w:r>
      <w:r w:rsidR="002C69A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propone</w:t>
      </w:r>
      <w:r w:rsidR="000A09AE" w:rsidRPr="000A09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un mecanismo más flexible, donde cada postor y posición tiene límites inferiores y superiores (precios)</w:t>
      </w:r>
      <w:r w:rsidR="002C69A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CEB8A43" w14:textId="13A7C564" w:rsidR="001D0DF8" w:rsidRDefault="002C69A0" w:rsidP="000A09AE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El planteamiento del problema se hace mediante teoría de conjuntos, dónde se definen el set de pujadores “I” {1,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…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n}, y el set de ítems subastados “J” {1, … , k}</w:t>
      </w:r>
      <w:r w:rsidR="001D0DF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Se define también, que cada pujador asigna un valor a cada ítem, según su interés por conseguirlo y un precio máximo que están dispuestos a pagar. Por otro lado, los ítems tienen un precio mínimo por el que deben ser comprados, y que los pujadores conocen de antemano. Para asignar ítems a los pujadores se construye un vector con estos valores, y se definen unas reglas para encontrar las combinaciones más estables. Estas reglas intentan modelar el interés particular de cada individuo comparándolo con la utilidad y precio de cada ítem, así se consiguen un set de inecuaciones sobre las que optimizar la estabilidad, asignando mayor estabilidad a aquellas combinaciones que cumplen más inecuaciones.</w:t>
      </w:r>
      <w:r w:rsidR="0024326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 utilidad “u” de un ítem “i” ofrecido a un pujador “j” a un precio “p” se define cómo el valor “v” menos el precio “p” si el precio es menor que el máximo que están dispuestos a pagar “m”.</w:t>
      </w:r>
    </w:p>
    <w:p w14:paraId="596FAD33" w14:textId="7ECFCEBB" w:rsidR="00243267" w:rsidRPr="001D0DF8" w:rsidRDefault="00243267" w:rsidP="000A09AE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Para definir mecanismos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comúnes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 puja se usan un seguido de propiedades clave, que se usan junto con el modelo descrito</w:t>
      </w:r>
      <w:r w:rsidR="00746D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para situar mejor el problema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746D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Entre ellas están el modelo de “</w:t>
      </w:r>
      <w:proofErr w:type="spellStart"/>
      <w:r w:rsidR="00746D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pay</w:t>
      </w:r>
      <w:proofErr w:type="spellEnd"/>
      <w:r w:rsidR="00746D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-per-</w:t>
      </w:r>
      <w:proofErr w:type="spellStart"/>
      <w:r w:rsidR="00746D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click</w:t>
      </w:r>
      <w:proofErr w:type="spellEnd"/>
      <w:r w:rsidR="00746D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 que paga en cuanto se hace clic en el anuncio, el de “</w:t>
      </w:r>
      <w:proofErr w:type="spellStart"/>
      <w:r w:rsidR="00746D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pay</w:t>
      </w:r>
      <w:proofErr w:type="spellEnd"/>
      <w:r w:rsidR="00746D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-per-</w:t>
      </w:r>
      <w:proofErr w:type="spellStart"/>
      <w:r w:rsidR="00746D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impression</w:t>
      </w:r>
      <w:proofErr w:type="spellEnd"/>
      <w:r w:rsidR="00746D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que paga sólo por mostrar el </w:t>
      </w:r>
      <w:proofErr w:type="spellStart"/>
      <w:r w:rsidR="00746D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anúncio</w:t>
      </w:r>
      <w:proofErr w:type="spellEnd"/>
      <w:r w:rsidR="00746D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el mecanismo VCG de maximización de beneficio que básicamente combina lo mejor de los dos anteriores, el de “</w:t>
      </w:r>
      <w:proofErr w:type="spellStart"/>
      <w:r w:rsidR="00746D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max</w:t>
      </w:r>
      <w:proofErr w:type="spellEnd"/>
      <w:r w:rsidR="00746D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-per-</w:t>
      </w:r>
      <w:proofErr w:type="spellStart"/>
      <w:r w:rsidR="00746D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impression</w:t>
      </w:r>
      <w:proofErr w:type="spellEnd"/>
      <w:r w:rsidR="00746D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 que limita el precio que quiere pagar el anunciante por cada impresión, minimizando así el precio a pagar, el de “</w:t>
      </w:r>
      <w:proofErr w:type="spellStart"/>
      <w:r w:rsidR="00746D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max</w:t>
      </w:r>
      <w:proofErr w:type="spellEnd"/>
      <w:r w:rsidR="00746D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-per-</w:t>
      </w:r>
      <w:proofErr w:type="spellStart"/>
      <w:r w:rsidR="00746D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click</w:t>
      </w:r>
      <w:proofErr w:type="spellEnd"/>
      <w:r w:rsidR="00746D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 que es lo mismo que el anterior pero con clics, y finalmente el “</w:t>
      </w:r>
      <w:proofErr w:type="spellStart"/>
      <w:r w:rsidR="00746D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profit-maximizing</w:t>
      </w:r>
      <w:proofErr w:type="spellEnd"/>
      <w:r w:rsidR="00746D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que busca la posición que maximiza el beneficio del o la anunciante basado en unas reglas que él o ella ponga. </w:t>
      </w:r>
      <w:r w:rsidR="00CF0C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Así que se tienen en cuenta factores como la diversidad de pujadores, dónde cada pujador tiene su propia estrategia de maximización de beneficio. </w:t>
      </w:r>
      <w:proofErr w:type="gramStart"/>
      <w:r w:rsidR="00CF0C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Éstas</w:t>
      </w:r>
      <w:proofErr w:type="gramEnd"/>
      <w:r w:rsidR="00CF0C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estrategias se acoplan al modelo asignando valores específicos a las variables mencionadas anteriormente.</w:t>
      </w:r>
    </w:p>
    <w:p w14:paraId="310AC24B" w14:textId="4B769918" w:rsidR="00CF0C86" w:rsidRDefault="000A09AE" w:rsidP="000A09AE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09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Para gestionar las pujas y lograr el máximo beneficio, </w:t>
      </w:r>
      <w:r w:rsidR="00CF0C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 usa el </w:t>
      </w:r>
      <w:r w:rsidR="00CF0C86"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>Algoritmo Húngaro</w:t>
      </w:r>
      <w:r w:rsidR="005C2D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[1, 2]</w:t>
      </w:r>
      <w:r w:rsidR="00CF0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que pretende encontrar el mínimo </w:t>
      </w:r>
      <w:r w:rsidR="005C2D3F">
        <w:rPr>
          <w:rFonts w:ascii="Times New Roman" w:hAnsi="Times New Roman" w:cs="Times New Roman"/>
          <w:color w:val="000000" w:themeColor="text1"/>
          <w:sz w:val="24"/>
          <w:szCs w:val="24"/>
        </w:rPr>
        <w:t>coste de un seguido de emparejamientos en una matriz de costes,</w:t>
      </w:r>
      <w:r w:rsidR="00CF0C86"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modelos de emparejamiento de Gale-Shapley y Shapley-</w:t>
      </w:r>
      <w:proofErr w:type="spellStart"/>
      <w:r w:rsidR="00CF0C86"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>Shubik</w:t>
      </w:r>
      <w:proofErr w:type="spellEnd"/>
      <w:r w:rsidR="005C2D3F">
        <w:rPr>
          <w:rFonts w:ascii="Times New Roman" w:hAnsi="Times New Roman" w:cs="Times New Roman"/>
          <w:color w:val="000000" w:themeColor="text1"/>
          <w:sz w:val="24"/>
          <w:szCs w:val="24"/>
        </w:rPr>
        <w:t>, que pretenden maximizar la satisfacción con el emparejamiento y el bienestar general</w:t>
      </w:r>
      <w:r w:rsidR="005C2D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0A09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C2D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  <w:r w:rsidRPr="000A09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on </w:t>
      </w:r>
      <w:r w:rsidR="00CF0C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el </w:t>
      </w:r>
      <w:r w:rsidR="00CF0C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fin de conseguir</w:t>
      </w:r>
      <w:r w:rsidRPr="000A09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que los postores no tengan incentivos para manipular la subasta</w:t>
      </w:r>
      <w:r w:rsidR="005C2D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2D3F">
        <w:rPr>
          <w:rFonts w:ascii="Times New Roman" w:hAnsi="Times New Roman" w:cs="Times New Roman"/>
          <w:color w:val="000000" w:themeColor="text1"/>
          <w:sz w:val="24"/>
          <w:szCs w:val="24"/>
        </w:rPr>
        <w:t>Estos modelos se pueden relacionar con lo impartido en clase con problemas tipo TSP, que pretende minimizar una matriz de coste, y teoría de juegos que pretende maximizar el bienestar global.</w:t>
      </w:r>
    </w:p>
    <w:p w14:paraId="315A30A0" w14:textId="6B196DAD" w:rsidR="000A09AE" w:rsidRDefault="002C69A0" w:rsidP="000A09AE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r w:rsidR="000A09AE"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resultados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 análisis </w:t>
      </w:r>
      <w:r w:rsidR="000A09AE"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>indican</w:t>
      </w:r>
      <w:r w:rsidR="006C4A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el algoritmo encuentra emparejamientos tanto estables cómo válidos y que el tiempo de ejecución es del orden de O(nk</w:t>
      </w:r>
      <w:r w:rsidR="006C4AE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="006C4AE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A09AE"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4AE3">
        <w:rPr>
          <w:rFonts w:ascii="Times New Roman" w:hAnsi="Times New Roman" w:cs="Times New Roman"/>
          <w:color w:val="000000" w:themeColor="text1"/>
          <w:sz w:val="24"/>
          <w:szCs w:val="24"/>
        </w:rPr>
        <w:t>con un número máximo de iteraciones n</w:t>
      </w:r>
      <w:proofErr w:type="gramStart"/>
      <w:r w:rsidR="006C4AE3">
        <w:rPr>
          <w:rFonts w:ascii="Times New Roman" w:hAnsi="Times New Roman" w:cs="Times New Roman"/>
          <w:color w:val="000000" w:themeColor="text1"/>
          <w:sz w:val="24"/>
          <w:szCs w:val="24"/>
        </w:rPr>
        <w:t>·(</w:t>
      </w:r>
      <w:proofErr w:type="gramEnd"/>
      <w:r w:rsidR="006C4A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2k + 1). </w:t>
      </w:r>
      <w:proofErr w:type="gramStart"/>
      <w:r w:rsidR="006C4AE3">
        <w:rPr>
          <w:rFonts w:ascii="Times New Roman" w:hAnsi="Times New Roman" w:cs="Times New Roman"/>
          <w:color w:val="000000" w:themeColor="text1"/>
          <w:sz w:val="24"/>
          <w:szCs w:val="24"/>
        </w:rPr>
        <w:t>Además</w:t>
      </w:r>
      <w:proofErr w:type="gramEnd"/>
      <w:r w:rsidR="006C4A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asegura que los emparejamientos encontrados por el algoritmo </w:t>
      </w:r>
      <w:r w:rsidR="001D3C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serán siempre mejores o igual de beneficiosos para los pujadores que cualquier otra combinación. </w:t>
      </w:r>
      <w:proofErr w:type="spellStart"/>
      <w:r w:rsidR="006C4AE3">
        <w:rPr>
          <w:rFonts w:ascii="Times New Roman" w:hAnsi="Times New Roman" w:cs="Times New Roman"/>
          <w:color w:val="000000" w:themeColor="text1"/>
          <w:sz w:val="24"/>
          <w:szCs w:val="24"/>
        </w:rPr>
        <w:t>Aún</w:t>
      </w:r>
      <w:proofErr w:type="spellEnd"/>
      <w:r w:rsidR="006C4A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así, también se demuestra que existen casos en los que no se puede encontrar una solución óptima, para los cuales el espacio de soluciones está vacío. Así pues, se demuestra </w:t>
      </w:r>
      <w:r w:rsidR="000A09AE" w:rsidRPr="000A09AE">
        <w:rPr>
          <w:rFonts w:ascii="Times New Roman" w:hAnsi="Times New Roman" w:cs="Times New Roman"/>
          <w:color w:val="000000" w:themeColor="text1"/>
          <w:sz w:val="24"/>
          <w:szCs w:val="24"/>
        </w:rPr>
        <w:t>que el algoritmo puede encontrar estos emparejamientos en tiempo polinómico, lo cual es necesario para su uso práctico en sistemas de publicidad en línea.</w:t>
      </w:r>
      <w:r w:rsidR="005C2D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A09AE" w:rsidRPr="000A09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No obstante, ponerlo en práctica en escenarios naturales podría enfrentar consideraciones prácticas como los gastos computacionales y la necesidad de métodos adaptados para sistemas a gran escala. </w:t>
      </w:r>
      <w:r w:rsidR="001D3C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priori</w:t>
      </w:r>
      <w:r w:rsidR="000A09AE" w:rsidRPr="000A09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1D3C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uno podría pensar que </w:t>
      </w:r>
      <w:r w:rsidR="000A09AE" w:rsidRPr="000A09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confiar en la honestidad de los postores podría ser una vulnerabilidad del modelo</w:t>
      </w:r>
      <w:r w:rsidR="001D3C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pero en el penúltimo apartado, los autores indican que no existe una estrategia que beneficie a todos los miembros maliciosos</w:t>
      </w:r>
      <w:r w:rsidR="000A09AE" w:rsidRPr="000A09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FD10690" w14:textId="77777777" w:rsidR="005C2D3F" w:rsidRDefault="005C2D3F" w:rsidP="000A09AE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BE051A5" w14:textId="0C832D2A" w:rsidR="005C2D3F" w:rsidRPr="005C2D3F" w:rsidRDefault="005C2D3F" w:rsidP="005C2D3F">
      <w:pPr>
        <w:pStyle w:val="publicationsandsearchesuseddetailitemsfdtg"/>
        <w:shd w:val="clear" w:color="auto" w:fill="FFFFFF"/>
        <w:jc w:val="both"/>
        <w:rPr>
          <w:rFonts w:eastAsiaTheme="minorHAnsi"/>
          <w:color w:val="000000" w:themeColor="text1"/>
          <w:kern w:val="2"/>
          <w:shd w:val="clear" w:color="auto" w:fill="FFFFFF"/>
          <w:lang w:val="en-US" w:eastAsia="en-US"/>
          <w14:ligatures w14:val="standardContextual"/>
        </w:rPr>
      </w:pPr>
      <w:r w:rsidRPr="005C2D3F">
        <w:rPr>
          <w:rFonts w:eastAsiaTheme="minorHAnsi"/>
          <w:color w:val="000000" w:themeColor="text1"/>
          <w:kern w:val="2"/>
          <w:shd w:val="clear" w:color="auto" w:fill="FFFFFF"/>
          <w:lang w:eastAsia="en-US"/>
          <w14:ligatures w14:val="standardContextual"/>
        </w:rPr>
        <w:t xml:space="preserve">[1] </w:t>
      </w:r>
      <w:r w:rsidRPr="005C2D3F">
        <w:rPr>
          <w:rFonts w:eastAsiaTheme="minorHAnsi"/>
          <w:color w:val="000000" w:themeColor="text1"/>
          <w:kern w:val="2"/>
          <w:shd w:val="clear" w:color="auto" w:fill="FFFFFF"/>
          <w:lang w:eastAsia="en-US"/>
          <w14:ligatures w14:val="standardContextual"/>
        </w:rPr>
        <w:t xml:space="preserve">(1955). The </w:t>
      </w:r>
      <w:proofErr w:type="spellStart"/>
      <w:r w:rsidRPr="005C2D3F">
        <w:rPr>
          <w:rFonts w:eastAsiaTheme="minorHAnsi"/>
          <w:color w:val="000000" w:themeColor="text1"/>
          <w:kern w:val="2"/>
          <w:shd w:val="clear" w:color="auto" w:fill="FFFFFF"/>
          <w:lang w:eastAsia="en-US"/>
          <w14:ligatures w14:val="standardContextual"/>
        </w:rPr>
        <w:t>hungarian</w:t>
      </w:r>
      <w:proofErr w:type="spellEnd"/>
      <w:r w:rsidRPr="005C2D3F">
        <w:rPr>
          <w:rFonts w:eastAsiaTheme="minorHAnsi"/>
          <w:color w:val="000000" w:themeColor="text1"/>
          <w:kern w:val="2"/>
          <w:shd w:val="clear" w:color="auto" w:fill="FFFFFF"/>
          <w:lang w:eastAsia="en-US"/>
          <w14:ligatures w14:val="standardContextual"/>
        </w:rPr>
        <w:t xml:space="preserve"> method for the assignment problem. naval research logistics quarterly, 2(1-2), 83-97. </w:t>
      </w:r>
      <w:hyperlink r:id="rId5" w:history="1">
        <w:r w:rsidRPr="005C2D3F">
          <w:rPr>
            <w:rStyle w:val="Hyperlink"/>
            <w:rFonts w:eastAsiaTheme="minorHAnsi"/>
            <w:kern w:val="2"/>
            <w:shd w:val="clear" w:color="auto" w:fill="FFFFFF"/>
            <w:lang w:val="en-US" w:eastAsia="en-US"/>
            <w14:ligatures w14:val="standardContextual"/>
          </w:rPr>
          <w:t>https://doi.org</w:t>
        </w:r>
        <w:r w:rsidRPr="005C2D3F">
          <w:rPr>
            <w:rStyle w:val="Hyperlink"/>
            <w:rFonts w:eastAsiaTheme="minorHAnsi"/>
            <w:kern w:val="2"/>
            <w:shd w:val="clear" w:color="auto" w:fill="FFFFFF"/>
            <w:lang w:val="en-US" w:eastAsia="en-US"/>
            <w14:ligatures w14:val="standardContextual"/>
          </w:rPr>
          <w:t>/</w:t>
        </w:r>
        <w:r w:rsidRPr="005C2D3F">
          <w:rPr>
            <w:rStyle w:val="Hyperlink"/>
            <w:rFonts w:eastAsiaTheme="minorHAnsi"/>
            <w:kern w:val="2"/>
            <w:shd w:val="clear" w:color="auto" w:fill="FFFFFF"/>
            <w:lang w:val="en-US" w:eastAsia="en-US"/>
            <w14:ligatures w14:val="standardContextual"/>
          </w:rPr>
          <w:t>10.1002/nav.3800020109</w:t>
        </w:r>
      </w:hyperlink>
    </w:p>
    <w:p w14:paraId="3C08D56F" w14:textId="7B11CF4C" w:rsidR="005C2D3F" w:rsidRDefault="005C2D3F" w:rsidP="005C2D3F">
      <w:pPr>
        <w:pStyle w:val="publicationsandsearchesuseddetailitemsfdtg"/>
        <w:shd w:val="clear" w:color="auto" w:fill="FFFFFF"/>
        <w:jc w:val="both"/>
        <w:rPr>
          <w:rFonts w:eastAsiaTheme="minorHAnsi"/>
          <w:color w:val="000000" w:themeColor="text1"/>
          <w:kern w:val="2"/>
          <w:shd w:val="clear" w:color="auto" w:fill="FFFFFF"/>
          <w:lang w:eastAsia="en-US"/>
          <w14:ligatures w14:val="standardContextual"/>
        </w:rPr>
      </w:pPr>
      <w:r w:rsidRPr="005C2D3F">
        <w:rPr>
          <w:rFonts w:eastAsiaTheme="minorHAnsi"/>
          <w:color w:val="000000" w:themeColor="text1"/>
          <w:kern w:val="2"/>
          <w:shd w:val="clear" w:color="auto" w:fill="FFFFFF"/>
          <w:lang w:val="en-US" w:eastAsia="en-US"/>
          <w14:ligatures w14:val="standardContextual"/>
        </w:rPr>
        <w:t xml:space="preserve">[2] </w:t>
      </w:r>
      <w:r w:rsidRPr="005C2D3F">
        <w:rPr>
          <w:rFonts w:eastAsiaTheme="minorHAnsi"/>
          <w:color w:val="000000" w:themeColor="text1"/>
          <w:kern w:val="2"/>
          <w:shd w:val="clear" w:color="auto" w:fill="FFFFFF"/>
          <w:lang w:val="en-US" w:eastAsia="en-US"/>
          <w14:ligatures w14:val="standardContextual"/>
        </w:rPr>
        <w:t xml:space="preserve">(2007). Modified bipartite matching for </w:t>
      </w:r>
      <w:proofErr w:type="spellStart"/>
      <w:r w:rsidRPr="005C2D3F">
        <w:rPr>
          <w:rFonts w:eastAsiaTheme="minorHAnsi"/>
          <w:color w:val="000000" w:themeColor="text1"/>
          <w:kern w:val="2"/>
          <w:shd w:val="clear" w:color="auto" w:fill="FFFFFF"/>
          <w:lang w:val="en-US" w:eastAsia="en-US"/>
          <w14:ligatures w14:val="standardContextual"/>
        </w:rPr>
        <w:t>multiobjective</w:t>
      </w:r>
      <w:proofErr w:type="spellEnd"/>
      <w:r w:rsidRPr="005C2D3F">
        <w:rPr>
          <w:rFonts w:eastAsiaTheme="minorHAnsi"/>
          <w:color w:val="000000" w:themeColor="text1"/>
          <w:kern w:val="2"/>
          <w:shd w:val="clear" w:color="auto" w:fill="FFFFFF"/>
          <w:lang w:val="en-US" w:eastAsia="en-US"/>
          <w14:ligatures w14:val="standardContextual"/>
        </w:rPr>
        <w:t xml:space="preserve"> optimization.</w:t>
      </w:r>
      <w:r>
        <w:rPr>
          <w:rFonts w:eastAsiaTheme="minorHAnsi"/>
          <w:color w:val="000000" w:themeColor="text1"/>
          <w:kern w:val="2"/>
          <w:shd w:val="clear" w:color="auto" w:fill="FFFFFF"/>
          <w:lang w:val="en-US" w:eastAsia="en-US"/>
          <w14:ligatures w14:val="standardContextual"/>
        </w:rPr>
        <w:t xml:space="preserve"> </w:t>
      </w:r>
      <w:hyperlink r:id="rId6" w:history="1">
        <w:r w:rsidRPr="00C45904">
          <w:rPr>
            <w:rStyle w:val="Hyperlink"/>
            <w:rFonts w:eastAsiaTheme="minorHAnsi"/>
            <w:kern w:val="2"/>
            <w:shd w:val="clear" w:color="auto" w:fill="FFFFFF"/>
            <w:lang w:eastAsia="en-US"/>
            <w14:ligatures w14:val="standardContextual"/>
          </w:rPr>
          <w:t>https://doi.org/10.1109/tenc</w:t>
        </w:r>
        <w:r w:rsidRPr="00C45904">
          <w:rPr>
            <w:rStyle w:val="Hyperlink"/>
            <w:rFonts w:eastAsiaTheme="minorHAnsi"/>
            <w:kern w:val="2"/>
            <w:shd w:val="clear" w:color="auto" w:fill="FFFFFF"/>
            <w:lang w:eastAsia="en-US"/>
            <w14:ligatures w14:val="standardContextual"/>
          </w:rPr>
          <w:t>o</w:t>
        </w:r>
        <w:r w:rsidRPr="00C45904">
          <w:rPr>
            <w:rStyle w:val="Hyperlink"/>
            <w:rFonts w:eastAsiaTheme="minorHAnsi"/>
            <w:kern w:val="2"/>
            <w:shd w:val="clear" w:color="auto" w:fill="FFFFFF"/>
            <w:lang w:eastAsia="en-US"/>
            <w14:ligatures w14:val="standardContextual"/>
          </w:rPr>
          <w:t>n.2007.4428865</w:t>
        </w:r>
      </w:hyperlink>
    </w:p>
    <w:p w14:paraId="70FDA2F9" w14:textId="43A62B1E" w:rsidR="006C4AE3" w:rsidRPr="006C4AE3" w:rsidRDefault="006C4AE3" w:rsidP="006C4AE3">
      <w:pPr>
        <w:pStyle w:val="publicationsandsearchesuseddetailitemsfdtg"/>
        <w:shd w:val="clear" w:color="auto" w:fill="FFFFFF"/>
        <w:jc w:val="both"/>
        <w:rPr>
          <w:rFonts w:eastAsiaTheme="minorHAnsi"/>
          <w:color w:val="000000" w:themeColor="text1"/>
          <w:kern w:val="2"/>
          <w:shd w:val="clear" w:color="auto" w:fill="FFFFFF"/>
          <w:lang w:val="en-US" w:eastAsia="en-US"/>
          <w14:ligatures w14:val="standardContextual"/>
        </w:rPr>
      </w:pPr>
      <w:r w:rsidRPr="006C4AE3">
        <w:rPr>
          <w:rFonts w:eastAsiaTheme="minorHAnsi"/>
          <w:color w:val="000000" w:themeColor="text1"/>
          <w:kern w:val="2"/>
          <w:shd w:val="clear" w:color="auto" w:fill="FFFFFF"/>
          <w:lang w:val="en-US" w:eastAsia="en-US"/>
          <w14:ligatures w14:val="standardContextual"/>
        </w:rPr>
        <w:t xml:space="preserve">[3] </w:t>
      </w:r>
      <w:r w:rsidRPr="006C4AE3">
        <w:rPr>
          <w:rFonts w:eastAsiaTheme="minorHAnsi"/>
          <w:color w:val="000000" w:themeColor="text1"/>
          <w:kern w:val="2"/>
          <w:shd w:val="clear" w:color="auto" w:fill="FFFFFF"/>
          <w:lang w:val="en-US" w:eastAsia="en-US"/>
          <w14:ligatures w14:val="standardContextual"/>
        </w:rPr>
        <w:t xml:space="preserve">Iwama and Miyazaki "A Survey of the Stable Marriage Problem and Its Variants" (2008) </w:t>
      </w:r>
      <w:hyperlink r:id="rId7" w:history="1">
        <w:r w:rsidRPr="00C45904">
          <w:rPr>
            <w:rStyle w:val="Hyperlink"/>
            <w:rFonts w:eastAsiaTheme="minorHAnsi"/>
            <w:kern w:val="2"/>
            <w:shd w:val="clear" w:color="auto" w:fill="FFFFFF"/>
            <w:lang w:val="en-US" w:eastAsia="en-US"/>
            <w14:ligatures w14:val="standardContextual"/>
          </w:rPr>
          <w:t>doi:10.110</w:t>
        </w:r>
        <w:r w:rsidRPr="00C45904">
          <w:rPr>
            <w:rStyle w:val="Hyperlink"/>
            <w:rFonts w:eastAsiaTheme="minorHAnsi"/>
            <w:kern w:val="2"/>
            <w:shd w:val="clear" w:color="auto" w:fill="FFFFFF"/>
            <w:lang w:val="en-US" w:eastAsia="en-US"/>
            <w14:ligatures w14:val="standardContextual"/>
          </w:rPr>
          <w:t>9</w:t>
        </w:r>
        <w:r w:rsidRPr="00C45904">
          <w:rPr>
            <w:rStyle w:val="Hyperlink"/>
            <w:rFonts w:eastAsiaTheme="minorHAnsi"/>
            <w:kern w:val="2"/>
            <w:shd w:val="clear" w:color="auto" w:fill="FFFFFF"/>
            <w:lang w:val="en-US" w:eastAsia="en-US"/>
            <w14:ligatures w14:val="standardContextual"/>
          </w:rPr>
          <w:t>/icks.2008.7</w:t>
        </w:r>
      </w:hyperlink>
    </w:p>
    <w:p w14:paraId="5E1420B3" w14:textId="77777777" w:rsidR="006C4AE3" w:rsidRDefault="006C4AE3" w:rsidP="006C4AE3">
      <w:pPr>
        <w:pStyle w:val="publicationsandsearchesuseddetailitemsfdtg"/>
        <w:shd w:val="clear" w:color="auto" w:fill="FFFFFF"/>
        <w:jc w:val="both"/>
        <w:rPr>
          <w:rFonts w:eastAsiaTheme="minorHAnsi"/>
          <w:color w:val="000000" w:themeColor="text1"/>
          <w:kern w:val="2"/>
          <w:shd w:val="clear" w:color="auto" w:fill="FFFFFF"/>
          <w:lang w:val="en-US" w:eastAsia="en-US"/>
          <w14:ligatures w14:val="standardContextual"/>
        </w:rPr>
      </w:pPr>
    </w:p>
    <w:p w14:paraId="2D4710FC" w14:textId="77777777" w:rsidR="006C4AE3" w:rsidRDefault="006C4AE3" w:rsidP="006C4AE3">
      <w:pPr>
        <w:pStyle w:val="publicationsandsearchesuseddetailitemsfdtg"/>
        <w:shd w:val="clear" w:color="auto" w:fill="FFFFFF"/>
        <w:jc w:val="both"/>
        <w:rPr>
          <w:rFonts w:eastAsiaTheme="minorHAnsi"/>
          <w:color w:val="000000" w:themeColor="text1"/>
          <w:kern w:val="2"/>
          <w:shd w:val="clear" w:color="auto" w:fill="FFFFFF"/>
          <w:lang w:val="en-US" w:eastAsia="en-US"/>
          <w14:ligatures w14:val="standardContextual"/>
        </w:rPr>
      </w:pPr>
    </w:p>
    <w:p w14:paraId="01984AC7" w14:textId="77777777" w:rsidR="006C4AE3" w:rsidRPr="006C4AE3" w:rsidRDefault="006C4AE3" w:rsidP="006C4AE3">
      <w:pPr>
        <w:pStyle w:val="publicationsandsearchesuseddetailitemsfdtg"/>
        <w:shd w:val="clear" w:color="auto" w:fill="FFFFFF"/>
        <w:jc w:val="both"/>
        <w:rPr>
          <w:rFonts w:eastAsiaTheme="minorHAnsi"/>
          <w:color w:val="000000" w:themeColor="text1"/>
          <w:kern w:val="2"/>
          <w:shd w:val="clear" w:color="auto" w:fill="FFFFFF"/>
          <w:lang w:val="en-US" w:eastAsia="en-US"/>
          <w14:ligatures w14:val="standardContextual"/>
        </w:rPr>
      </w:pPr>
    </w:p>
    <w:p w14:paraId="1B1CE08D" w14:textId="77777777" w:rsidR="006C4AE3" w:rsidRPr="006C4AE3" w:rsidRDefault="006C4AE3" w:rsidP="005C2D3F">
      <w:pPr>
        <w:pStyle w:val="publicationsandsearchesuseddetailitemsfdtg"/>
        <w:shd w:val="clear" w:color="auto" w:fill="FFFFFF"/>
        <w:jc w:val="both"/>
        <w:rPr>
          <w:rFonts w:eastAsiaTheme="minorHAnsi"/>
          <w:color w:val="000000" w:themeColor="text1"/>
          <w:kern w:val="2"/>
          <w:shd w:val="clear" w:color="auto" w:fill="FFFFFF"/>
          <w:lang w:val="en-US" w:eastAsia="en-US"/>
          <w14:ligatures w14:val="standardContextual"/>
        </w:rPr>
      </w:pPr>
    </w:p>
    <w:p w14:paraId="114A0F54" w14:textId="77777777" w:rsidR="005C2D3F" w:rsidRPr="006C4AE3" w:rsidRDefault="005C2D3F" w:rsidP="005C2D3F">
      <w:pPr>
        <w:pStyle w:val="publicationsandsearchesuseddetailitemsfdtg"/>
        <w:shd w:val="clear" w:color="auto" w:fill="FFFFFF"/>
        <w:rPr>
          <w:rFonts w:eastAsiaTheme="minorHAnsi"/>
          <w:color w:val="000000" w:themeColor="text1"/>
          <w:kern w:val="2"/>
          <w:shd w:val="clear" w:color="auto" w:fill="FFFFFF"/>
          <w:lang w:val="en-US" w:eastAsia="en-US"/>
          <w14:ligatures w14:val="standardContextual"/>
        </w:rPr>
      </w:pPr>
    </w:p>
    <w:p w14:paraId="55601E89" w14:textId="77777777" w:rsidR="005C2D3F" w:rsidRPr="005C2D3F" w:rsidRDefault="005C2D3F" w:rsidP="005C2D3F">
      <w:pPr>
        <w:pStyle w:val="publicationsandsearchesuseddetailitemsfdtg"/>
        <w:shd w:val="clear" w:color="auto" w:fill="FFFFFF"/>
        <w:rPr>
          <w:rFonts w:ascii="IBM Plex Sans" w:hAnsi="IBM Plex Sans"/>
          <w:color w:val="1E1D1A"/>
          <w:lang w:val="en-US"/>
        </w:rPr>
      </w:pPr>
    </w:p>
    <w:p w14:paraId="584C4329" w14:textId="77777777" w:rsidR="005C2D3F" w:rsidRPr="005C2D3F" w:rsidRDefault="005C2D3F" w:rsidP="000A09AE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sectPr w:rsidR="005C2D3F" w:rsidRPr="005C2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77C6"/>
    <w:multiLevelType w:val="multilevel"/>
    <w:tmpl w:val="66A06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F0D"/>
    <w:multiLevelType w:val="multilevel"/>
    <w:tmpl w:val="C666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37D7F"/>
    <w:multiLevelType w:val="multilevel"/>
    <w:tmpl w:val="77489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071D29"/>
    <w:multiLevelType w:val="multilevel"/>
    <w:tmpl w:val="ACEA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84135"/>
    <w:multiLevelType w:val="multilevel"/>
    <w:tmpl w:val="A2BA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C2650"/>
    <w:multiLevelType w:val="multilevel"/>
    <w:tmpl w:val="F9FCE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B1989"/>
    <w:multiLevelType w:val="multilevel"/>
    <w:tmpl w:val="81F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031423">
    <w:abstractNumId w:val="2"/>
  </w:num>
  <w:num w:numId="2" w16cid:durableId="487138979">
    <w:abstractNumId w:val="6"/>
  </w:num>
  <w:num w:numId="3" w16cid:durableId="902250977">
    <w:abstractNumId w:val="4"/>
  </w:num>
  <w:num w:numId="4" w16cid:durableId="1489635349">
    <w:abstractNumId w:val="1"/>
  </w:num>
  <w:num w:numId="5" w16cid:durableId="607590518">
    <w:abstractNumId w:val="0"/>
  </w:num>
  <w:num w:numId="6" w16cid:durableId="1847984909">
    <w:abstractNumId w:val="3"/>
  </w:num>
  <w:num w:numId="7" w16cid:durableId="837963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61"/>
    <w:rsid w:val="00006D4B"/>
    <w:rsid w:val="0004079E"/>
    <w:rsid w:val="000A09AE"/>
    <w:rsid w:val="001D0DF8"/>
    <w:rsid w:val="001D3C86"/>
    <w:rsid w:val="00243267"/>
    <w:rsid w:val="002C69A0"/>
    <w:rsid w:val="005C2D3F"/>
    <w:rsid w:val="005D2761"/>
    <w:rsid w:val="006C4AE3"/>
    <w:rsid w:val="00746D1B"/>
    <w:rsid w:val="00CF0C86"/>
    <w:rsid w:val="00E64FBF"/>
    <w:rsid w:val="00F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8F38"/>
  <w15:chartTrackingRefBased/>
  <w15:docId w15:val="{83D1D701-40D8-4BB3-8865-120F5CB4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4F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64F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4FBF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64FBF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katex-mathml">
    <w:name w:val="katex-mathml"/>
    <w:basedOn w:val="DefaultParagraphFont"/>
    <w:rsid w:val="00E64FBF"/>
  </w:style>
  <w:style w:type="character" w:customStyle="1" w:styleId="mord">
    <w:name w:val="mord"/>
    <w:basedOn w:val="DefaultParagraphFont"/>
    <w:rsid w:val="00E64FBF"/>
  </w:style>
  <w:style w:type="character" w:customStyle="1" w:styleId="mrel">
    <w:name w:val="mrel"/>
    <w:basedOn w:val="DefaultParagraphFont"/>
    <w:rsid w:val="00E64FBF"/>
  </w:style>
  <w:style w:type="character" w:customStyle="1" w:styleId="mopen">
    <w:name w:val="mopen"/>
    <w:basedOn w:val="DefaultParagraphFont"/>
    <w:rsid w:val="00E64FBF"/>
  </w:style>
  <w:style w:type="character" w:customStyle="1" w:styleId="mpunct">
    <w:name w:val="mpunct"/>
    <w:basedOn w:val="DefaultParagraphFont"/>
    <w:rsid w:val="00E64FBF"/>
  </w:style>
  <w:style w:type="character" w:customStyle="1" w:styleId="minner">
    <w:name w:val="minner"/>
    <w:basedOn w:val="DefaultParagraphFont"/>
    <w:rsid w:val="00E64FBF"/>
  </w:style>
  <w:style w:type="character" w:customStyle="1" w:styleId="mclose">
    <w:name w:val="mclose"/>
    <w:basedOn w:val="DefaultParagraphFont"/>
    <w:rsid w:val="00E64FBF"/>
  </w:style>
  <w:style w:type="character" w:customStyle="1" w:styleId="vlist-s">
    <w:name w:val="vlist-s"/>
    <w:basedOn w:val="DefaultParagraphFont"/>
    <w:rsid w:val="00E64FBF"/>
  </w:style>
  <w:style w:type="character" w:customStyle="1" w:styleId="mbin">
    <w:name w:val="mbin"/>
    <w:basedOn w:val="DefaultParagraphFont"/>
    <w:rsid w:val="00E64FBF"/>
  </w:style>
  <w:style w:type="paragraph" w:customStyle="1" w:styleId="publicationsandsearchesuseddetailitemsfdtg">
    <w:name w:val="publicationsandsearchesused__detailitem___sfdtg"/>
    <w:basedOn w:val="Normal"/>
    <w:rsid w:val="005C2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yperlink">
    <w:name w:val="Hyperlink"/>
    <w:basedOn w:val="DefaultParagraphFont"/>
    <w:uiPriority w:val="99"/>
    <w:unhideWhenUsed/>
    <w:rsid w:val="005C2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D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A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:10.1109/icks.2008.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09/tencon.2007.4428865" TargetMode="External"/><Relationship Id="rId5" Type="http://schemas.openxmlformats.org/officeDocument/2006/relationships/hyperlink" Target="https://doi.org/10.1002/nav.38000201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830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Guillem Barta Gonzalez</dc:creator>
  <cp:keywords/>
  <dc:description/>
  <cp:lastModifiedBy>Guillem Barta Gonzalez</cp:lastModifiedBy>
  <cp:revision>2</cp:revision>
  <cp:lastPrinted>2024-07-18T19:32:00Z</cp:lastPrinted>
  <dcterms:created xsi:type="dcterms:W3CDTF">2024-07-18T17:35:00Z</dcterms:created>
  <dcterms:modified xsi:type="dcterms:W3CDTF">2024-07-18T19:34:00Z</dcterms:modified>
</cp:coreProperties>
</file>