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Calibri" w:cs="Calibri" w:eastAsia="Calibri" w:hAnsi="Calibri"/>
          <w:b/>
          <w:bCs/>
          <w:color w:val="1e1e2e"/>
          <w:sz w:val="64"/>
          <w:szCs w:val="64"/>
        </w:rPr>
        <w:t xml:space="preserve">Inkasso Toolkit</w:t>
      </w:r>
    </w:p>
    <w:p>
      <w:pPr>
        <w:spacing w:before="80" w:after="0"/>
      </w:pPr>
      <w:r>
        <w:rPr>
          <w:rFonts w:ascii="Calibri" w:cs="Calibri" w:eastAsia="Calibri" w:hAnsi="Calibri"/>
          <w:color w:val="888780"/>
          <w:sz w:val="30"/>
          <w:szCs w:val="30"/>
        </w:rPr>
        <w:t xml:space="preserve">Brukermanual</w:t>
      </w:r>
    </w:p>
    <w:p>
      <w:pPr>
        <w:spacing w:before="40" w:after="0"/>
      </w:pPr>
      <w:r>
        <w:rPr>
          <w:rFonts w:ascii="Calibri" w:cs="Calibri" w:eastAsia="Calibri" w:hAnsi="Calibri"/>
          <w:color w:val="888780"/>
          <w:sz w:val="19"/>
          <w:szCs w:val="19"/>
        </w:rPr>
        <w:t xml:space="preserve">Versjon 2026  ·  William H.B.</w:t>
      </w:r>
    </w:p>
    <w:p>
      <w:pPr>
        <w:pBdr>
          <w:bottom w:val="single" w:color="1a56a4" w:sz="6"/>
        </w:pBdr>
        <w:spacing w:before="600" w:after="0"/>
      </w:pPr>
    </w:p>
    <w:p>
      <w:pPr>
        <w:spacing w:before="400" w:after="0"/>
      </w:pPr>
    </w:p>
    <w:p>
      <w:pPr>
        <w:spacing w:before="0" w:after="28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Denne manualen forklarer hvordan du bruker Inkasso Toolkit i det daglige arbeidet. Verktøyet åpnes direkte i nettleseren og krever ingen installasjon.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Målgruppe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Saksbehandlere i inkasso og innfordring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Åpnes i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Nettleser (Chrome, Edge, Firefox, Safari)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Lagring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Lokalt i nettleseren – ingen data sendes til server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Krav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Internettilgang for fonter og PDF-funksjon</w:t>
            </w:r>
          </w:p>
        </w:tc>
      </w:tr>
    </w:tbl>
    <w:p>
      <w:pPr>
        <w:spacing w:before="240" w:after="0"/>
      </w:pPr>
    </w:p>
    <w:p>
      <w:pPr>
        <w:pBdr>
          <w:bottom w:val="single" w:color="d4d4cf" w:sz="4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1.  Komme i gang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Åpne filen index.html i nettleseren. Du lander direkte på Avdragsplan-fanen, som er hovedverktøyet.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1.1  Navigasjon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Øverst finner du tre faner: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📅  Avdragsplan</w:t>
            </w:r>
          </w:p>
        </w:tc>
        <w:tc>
          <w:tcPr>
            <w:tcW w:type="dxa" w:w="68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Hovedverktøyet – her jobber du mest</w:t>
            </w:r>
          </w:p>
        </w:tc>
      </w:tr>
      <w:tr>
        <w:tc>
          <w:tcPr>
            <w:tcW w:type="dxa" w:w="22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⚖  Forlik</w:t>
            </w:r>
          </w:p>
        </w:tc>
        <w:tc>
          <w:tcPr>
            <w:tcW w:type="dxa" w:w="68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Beregn forliksbeløp og generer forlikstekst</w:t>
            </w:r>
          </w:p>
        </w:tc>
      </w:tr>
      <w:tr>
        <w:tc>
          <w:tcPr>
            <w:tcW w:type="dxa" w:w="22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🔧  Verktøy</w:t>
            </w:r>
          </w:p>
        </w:tc>
        <w:tc>
          <w:tcPr>
            <w:tcW w:type="dxa" w:w="68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Rentekalkulator og Simulator (støtteverktøy)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1.2  Lagre og hente saker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Øverst til høyre finner du «Lagrede saker». Her kan du lagre en beregnet sak og hente den frem igjen senere.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Klikk «Lagrede saker» → gi saken et navn → klikk «Lagre»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Hent en sak ved å klikke på navnet i listen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Aktiv sak vises med blå banner øverst – endringer lagres automatisk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Slett en sak ved å klikke ✕ ved siden av navnet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c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56a4"/>
                <w:sz w:val="19"/>
                <w:szCs w:val="19"/>
              </w:rPr>
              <w:t xml:space="preserve">ℹ️  Tips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Data lagres lokalt i nettleseren. Hvis du bruker samme maskin, er saken tilgjengelig neste gang du åpner verktøyet.</w:t>
            </w:r>
          </w:p>
        </w:tc>
      </w:tr>
    </w:tbl>
    <w:p>
      <w:pPr>
        <w:spacing w:before="100" w:after="0"/>
      </w:pPr>
    </w:p>
    <w:p>
      <w:pPr>
        <w:pBdr>
          <w:bottom w:val="single" w:color="d4d4cf" w:sz="4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2.  Avdragsplan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Avdragsplan-fanen er kjernen i verktøyet. Her setter du opp kravets poster og beregner en avdragsplan med løpende renter.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2.1  Fyll inn kravets poster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Steg-for-steg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Velg skyldnertype (forbruker eller næringsdrivende) og MVA-status. Inkassosalær beregnes automatisk.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Fyll inn Hovedstol.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Angi opprinnelig forfallsdato på fakturaen. Datoen kan ikke ligge frem i tid.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Fyll inn purregebyr/standardkompensasjon hvis aktuelt (maks kr 76 for forbrukere, kr 460 for næring).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Angi forfallsdato på inkassovarsel (IV). Må være minst 14 dager etter fakturaforfall.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Angi BO-dato, eller huk av «BO ikke sendt» hvis betalingsoppfordring ikke er sendt.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Fyll inn eventuelle rettslige kostnader.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2.2  Forstå salærfeltene</w:t>
      </w:r>
    </w:p>
    <w:p>
      <w:pPr>
        <w:spacing w:before="0" w:after="140"/>
      </w:pPr>
      <w:r>
        <w:rPr>
          <w:rFonts w:ascii="Calibri" w:cs="Calibri" w:eastAsia="Calibri" w:hAnsi="Calibri"/>
          <w:b/>
          <w:bCs/>
          <w:color w:val="1e1e2e"/>
          <w:sz w:val="21"/>
          <w:szCs w:val="21"/>
        </w:rPr>
        <w:t xml:space="preserve">Lett salær: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Beregnes automatisk basert på hovedstol, skyldnertype og MVA. Du kan overskrive det manuelt.</w:t>
      </w:r>
    </w:p>
    <w:p>
      <w:pPr>
        <w:spacing w:before="0" w:after="140"/>
      </w:pPr>
      <w:r>
        <w:rPr>
          <w:rFonts w:ascii="Calibri" w:cs="Calibri" w:eastAsia="Calibri" w:hAnsi="Calibri"/>
          <w:b/>
          <w:bCs/>
          <w:color w:val="1e1e2e"/>
          <w:sz w:val="21"/>
          <w:szCs w:val="21"/>
        </w:rPr>
        <w:t xml:space="preserve">Tungt salær: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Vises og påløper automatisk når BO-dato + 14 dager (betalingsfrist) + 28 dagers oversittelse er passert. Forskyves til neste virkedag ved helg/helligdag.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edfa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⚠️  Viktig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Tungt salær erstatter lett salær – det er ikke et tillegg. Vises i grønn boks når det har påløpt.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2.3  Avdragsavtale før BO («BO ikke sendt»)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Når du huker av «BO ikke sendt», vises et panel med regler avhengig av om IV-fristen er utløpt:</w:t>
      </w:r>
    </w:p>
    <w:p>
      <w:pPr>
        <w:spacing w:before="6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IV ikke forfalt (frist ikke utløpt)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Krav under kr 2 500: ingen avdragsavtale – skyldner betaler innen IV-fristen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Krav over kr 2 500: 25% betales innen IV-forfallsdato, restbeløp i maks 3 avdrag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Ingen salær legges på i denne fasen</w:t>
      </w:r>
    </w:p>
    <w:p>
      <w:pPr>
        <w:spacing w:before="6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IV forfalt – BO ikke sendt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Maks 4 avdrag, første avdrag ≥ 25% av totalkravet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Angi dato for lett salær i feltet «Dato lett salær påføres»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Tungt salær påføres ikke – dokumenter dette i saksnotat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Ved mislighold: ikke friskmeld saken – send Betalingsoppfordring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 Viktig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Husk å skrive saksnotat om at skyldner er informert om muligheten til å betale uten ekstra omkostninger.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2.4  Sett opp avdragsplanen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Under kravets poster finner du feltene for avdragsplanen: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Fyll inn enten Antall måneder eller Månedlig beløp – det andre beregnes automatisk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Velg Første forfall (valgfritt). Datoen kan ikke ligge i fortiden.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Velg Dekningsrekkefølge (standard: Salær → Hovedstol → Renter)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c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56a4"/>
                <w:sz w:val="19"/>
                <w:szCs w:val="19"/>
              </w:rPr>
              <w:t xml:space="preserve">ℹ️  Tips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Du kan redigere dato og beløp direkte i avdragstabellen ved å klikke på dem. Datoendring forskyver alle påfølgende terminer tilsvarende, men bevarer den opprinnelige dagen i måneden.</w:t>
            </w:r>
          </w:p>
        </w:tc>
      </w:tr>
    </w:tbl>
    <w:p>
      <w:pPr>
        <w:spacing w:before="80" w:after="0"/>
      </w:pP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Knapper under tabellen: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«Kopier avdragsplan» – kopierer tabellen som formatert tekst, klar til liming i e-post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«Last ned PDF» – eksporterer avdragsplanen som PDF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«Nullstill» – tømmer alle felt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2.5  Snarveier til andre verktøy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Nederst i venstre panel finner du knapper som tar deg direkte til Forlik, Rentekalkulator eller Simulator. Tallene fra avdragsplanen fylles automatisk inn.</w:t>
      </w:r>
    </w:p>
    <w:p>
      <w:pPr>
        <w:spacing w:before="80" w:after="0"/>
      </w:pPr>
    </w:p>
    <w:p>
      <w:pPr>
        <w:pBdr>
          <w:bottom w:val="single" w:color="d4d4cf" w:sz="4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3.  Forlik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Forlik-fanen hjelper deg å beregne et forliksbeløp og generere tekst til e-post eller vedtak.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3.1  Fyll inn kravets poster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Øverst i venstre panel finner du knappen «Fyll inn fra Avdragsplan». Klikk på denne for å overføre tall fra avdragsplanen automatisk. Du kan også fylle inn manuelt: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Hovedstol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Inkassogebyr/salær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Renter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Rettslige kostnader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3.2  Juster rabatt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Bruk sliderne til å justere rabatten: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Total reduksjon – fordeler rabatt automatisk mellom renter, salær og hovedstol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Renter, salær og hovedstol kan justeres separat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Proporsjonal fordeling (hake) – fordeler rabatten likt på alle poster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Lås opp 100% rabatt på hovedstol ved å klikke «Opp til 100%»-knappen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c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56a4"/>
                <w:sz w:val="19"/>
                <w:szCs w:val="19"/>
              </w:rPr>
              <w:t xml:space="preserve">ℹ️  Tips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Klikk på prosenttallet ved siden av en slider for å skrive inn eksakt prosent.</w:t>
            </w:r>
          </w:p>
        </w:tc>
      </w:tr>
    </w:tbl>
    <w:p>
      <w:pPr>
        <w:spacing w:before="80" w:after="0"/>
      </w:pP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Du kan også skrive direkte i «Forliksbeløp»-feltet – sliderne oppdateres automatisk.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3.3  Kopier forliksforslag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«Kopier forliksforslag» – tekst med forliksbeløp og fordeling per post</w:t>
      </w:r>
    </w:p>
    <w:p>
      <w:pPr>
        <w:spacing w:before="0" w:after="80"/>
        <w:ind w:left="400" w:hanging="220"/>
      </w:pPr>
      <w:r>
        <w:rPr>
          <w:rFonts w:ascii="Calibri" w:cs="Calibri" w:eastAsia="Calibri" w:hAnsi="Calibri"/>
          <w:color w:val="888780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1e2e"/>
          <w:sz w:val="21"/>
          <w:szCs w:val="21"/>
        </w:rPr>
        <w:t xml:space="preserve">«Kopier som e-post» – ferdig formulert e-posttekst med 14 dagers frist, kontonummer og KID</w:t>
      </w:r>
    </w:p>
    <w:p>
      <w:pPr>
        <w:spacing w:before="80" w:after="0"/>
      </w:pPr>
    </w:p>
    <w:p>
      <w:pPr>
        <w:pBdr>
          <w:bottom w:val="single" w:color="d4d4cf" w:sz="4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4.  Verktøy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Verktøy-fanen samler to støtteverktøy: Rentekalkulator og Simulator. Bytt mellom dem med undertabene øverst i fanen.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4.1  Rentekalkulator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Beregner forsinkelsesrenter for en gitt periode med automatiske satsendringer.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Slik bruker du rentekalkulator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Fyll inn beløpet det skal beregnes renter av.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Angi Fra dato (normalt fakturaens forfallsdato).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Angi Til dato, eller klikk «i dag»-knappen.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Renter beregnes automatisk med riktig sats per halvår.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c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56a4"/>
                <w:sz w:val="19"/>
                <w:szCs w:val="19"/>
              </w:rPr>
              <w:t xml:space="preserve">ℹ️  Tips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Bruk knappen «% Rentekalkulator» i Avdragsplan-fanen for å overføre hovedstol og forfallsdato automatisk.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4.2  Simulator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Simulatoren er et «Hva hvis?»-verktøy – ideelt under telefonsamtale med skyldner. Alt oppdateres live mens du justerer.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Slik bruker du simulatoren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Fyll inn total saldo (eller bruk «Fyll inn fra Avdragsplan»).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Juster månedlig avdrag med slideren, tastaturet eller hurtigvalgknappene.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Se nedbetalingstid, totale renter og realitetsindikator oppdateres umiddelbart.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Klikk «4 avdrag» for å beregne beløpet som gir nøyaktig 4 terminer.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5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Klikk «Foreslå optimalt avdrag» for et realistisk forslag basert på saldostørrelsen.</w:t>
            </w:r>
          </w:p>
        </w:tc>
      </w:tr>
      <w:tr>
        <w:tc>
          <w:tcPr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4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Klikk «Kopier» for å kopiere nedbetalingstabellen som ferdig formatert tekst.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Realitetsindikator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🟢  Grønn</w:t>
            </w:r>
          </w:p>
        </w:tc>
        <w:tc>
          <w:tcPr>
            <w:tcW w:type="dxa" w:w="7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Realistisk – nedbetalingstid ≤ 3 år</w:t>
            </w:r>
          </w:p>
        </w:tc>
      </w:tr>
      <w:tr>
        <w:tc>
          <w:tcPr>
            <w:tcW w:type="dxa" w:w="1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🟡  Gul</w:t>
            </w:r>
          </w:p>
        </w:tc>
        <w:tc>
          <w:tcPr>
            <w:tcW w:type="dxa" w:w="7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Moderat risiko – nedbetalingstid ≤ 5 år</w:t>
            </w:r>
          </w:p>
        </w:tc>
      </w:tr>
      <w:tr>
        <w:tc>
          <w:tcPr>
            <w:tcW w:type="dxa" w:w="1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🔴  Rød</w:t>
            </w:r>
          </w:p>
        </w:tc>
        <w:tc>
          <w:tcPr>
            <w:tcW w:type="dxa" w:w="7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Høy risiko for mislighold – nedbetalingstid &gt; 5 år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Forhandlingstips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Under resultattallene vises automatisk et forslag: «Hvis du øker til kr X, er du ferdig på Y måneder». Bruk dette aktivt i samtale med skyldner.</w:t>
      </w:r>
    </w:p>
    <w:p>
      <w:pPr>
        <w:spacing w:before="80" w:after="0"/>
      </w:pPr>
    </w:p>
    <w:p>
      <w:pPr>
        <w:pBdr>
          <w:bottom w:val="single" w:color="d4d4cf" w:sz="4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5.  Nyttige tips</w:t>
      </w:r>
    </w:p>
    <w:p>
      <w:pPr>
        <w:spacing w:before="60" w:after="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Kalender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Alle datofelt har en kalender. Klikk på ikonet til høyre for feltet. I kalenderen kan du klikke på månedsnavn/år for å navigere raskt.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Slidere og musehjul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Alle slidere kan justeres med musehjulet. Plasser musepekeren over slideren og rull opp/ned.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Beløpsfelt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Skriv inn tall uten skilletegn (f.eks. «50000»). Feltet formateres automatisk til «50 000,00» når du klikker deg videre.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a56a4"/>
          <w:sz w:val="26"/>
          <w:szCs w:val="26"/>
        </w:rPr>
        <w:t xml:space="preserve">Varselfarger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Rød ramme / tekst</w:t>
            </w:r>
          </w:p>
        </w:tc>
        <w:tc>
          <w:tcPr>
            <w:tcW w:type="dxa" w:w="66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Feil – ugyldig dato, beløp over grense, eller obligatorisk felt mangler</w:t>
            </w:r>
          </w:p>
        </w:tc>
      </w:tr>
      <w:tr>
        <w:tc>
          <w:tcPr>
            <w:tcW w:type="dxa" w:w="24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Gul boks</w:t>
            </w:r>
          </w:p>
        </w:tc>
        <w:tc>
          <w:tcPr>
            <w:tcW w:type="dxa" w:w="66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Advarsel – vurder om dette er korrekt (f.eks. mer enn 4 avdrag)</w:t>
            </w:r>
          </w:p>
        </w:tc>
      </w:tr>
      <w:tr>
        <w:tc>
          <w:tcPr>
            <w:tcW w:type="dxa" w:w="24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Blå boks</w:t>
            </w:r>
          </w:p>
        </w:tc>
        <w:tc>
          <w:tcPr>
            <w:tcW w:type="dxa" w:w="66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Informasjon – regler for avdragsavtale eller scenariobeskrivelse</w:t>
            </w:r>
          </w:p>
        </w:tc>
      </w:tr>
      <w:tr>
        <w:tc>
          <w:tcPr>
            <w:tcW w:type="dxa" w:w="24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Grønn boks</w:t>
            </w:r>
          </w:p>
        </w:tc>
        <w:tc>
          <w:tcPr>
            <w:tcW w:type="dxa" w:w="66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OK – for eksempel tungt salær har påløpt</w:t>
            </w:r>
          </w:p>
        </w:tc>
      </w:tr>
    </w:tbl>
    <w:p>
      <w:pPr>
        <w:spacing w:before="120" w:after="0"/>
      </w:pPr>
    </w:p>
    <w:p>
      <w:pPr>
        <w:pBdr>
          <w:bottom w:val="single" w:color="d4d4cf" w:sz="4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Calibri" w:cs="Calibri" w:eastAsia="Calibri" w:hAnsi="Calibri"/>
          <w:b/>
          <w:bCs/>
          <w:color w:val="1e1e2e"/>
          <w:sz w:val="36"/>
          <w:szCs w:val="36"/>
        </w:rPr>
        <w:t xml:space="preserve">6.  Lovhenvisninger</w:t>
      </w:r>
    </w:p>
    <w:p>
      <w:pPr>
        <w:spacing w:before="0" w:after="140"/>
      </w:pPr>
      <w:r>
        <w:rPr>
          <w:rFonts w:ascii="Calibri" w:cs="Calibri" w:eastAsia="Calibri" w:hAnsi="Calibri"/>
          <w:color w:val="1e1e2e"/>
          <w:sz w:val="21"/>
          <w:szCs w:val="21"/>
        </w:rPr>
        <w:t xml:space="preserve">Verktøyet følger disse reglene: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§ 2-2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Lett salær – inkassoforskriften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§ 2-3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Tungt salær og 28-dagersregelen – inkassoforskriften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§ 9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Krav til inkassovarsel – inkassoloven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§ 10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Krav til betalingsoppfordring – inkassoloven</w:t>
            </w:r>
          </w:p>
        </w:tc>
      </w:tr>
      <w:tr>
        <w:tc>
          <w:tcPr>
            <w:tcW w:type="dxa" w:w="2600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shd w:fill="f5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2e"/>
                <w:sz w:val="19"/>
                <w:szCs w:val="19"/>
              </w:rPr>
              <w:t xml:space="preserve">Forsinkelsesrenteloven</w:t>
            </w:r>
          </w:p>
        </w:tc>
        <w:tc>
          <w:tcPr>
            <w:tcW w:type="dxa" w:w="6426"/>
            <w:tcBorders>
              <w:top w:val="single" w:color="d4d4cf" w:sz="1"/>
              <w:left w:val="single" w:color="d4d4cf" w:sz="1"/>
              <w:bottom w:val="single" w:color="d4d4cf" w:sz="1"/>
              <w:right w:val="single" w:color="d4d4c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Satser fastsatt av Finanstilsynet hvert halvår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ℹ️  Merk  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Verktøyet er et hjelpemiddel. Saksbehandler har selv ansvar for at beregninger og vurderinger er juridisk korrekte for den enkelte sak.</w:t>
            </w:r>
          </w:p>
        </w:tc>
      </w:tr>
    </w:tbl>
    <w:p>
      <w:pPr>
        <w:spacing w:before="80" w:after="0"/>
      </w:pPr>
    </w:p>
    <w:p>
      <w:pPr>
        <w:pBdr>
          <w:bottom w:val="single" w:color="d4d4cf" w:sz="4"/>
        </w:pBdr>
        <w:spacing w:before="240" w:after="240"/>
      </w:pPr>
    </w:p>
    <w:p>
      <w:pPr>
        <w:spacing w:before="200" w:after="0"/>
        <w:jc w:val="right"/>
      </w:pPr>
      <w:r>
        <w:rPr>
          <w:rFonts w:ascii="Calibri" w:cs="Calibri" w:eastAsia="Calibri" w:hAnsi="Calibri"/>
          <w:color w:val="888780"/>
          <w:sz w:val="17"/>
          <w:szCs w:val="17"/>
        </w:rPr>
        <w:t xml:space="preserve">© 2026 William H.B.  —  Inkasso Toolkit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160"/>
      <w:outlineLvl w:val="0"/>
    </w:pPr>
    <w:rPr>
      <w:rFonts w:ascii="Calibri" w:cs="Calibri" w:eastAsia="Calibri" w:hAnsi="Calibri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pPr>
      <w:spacing w:before="320" w:after="120"/>
      <w:outlineLvl w:val="1"/>
    </w:pPr>
    <w:rPr>
      <w:rFonts w:ascii="Calibri" w:cs="Calibri" w:eastAsia="Calibri" w:hAnsi="Calibri"/>
      <w:b/>
      <w:bCs/>
      <w:color w:val="1a56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2026-03-19T06:26:12.307Z</dcterms:created>
  <dcterms:modified xsi:type="dcterms:W3CDTF">2026-03-19T06:26:12.308Z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