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43190">
      <w:pPr>
        <w:ind w:firstLine="1701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La </w:t>
      </w:r>
      <w:r w:rsidR="00BC38D8">
        <w:rPr>
          <w:rFonts w:ascii="Arial" w:hAnsi="Arial" w:cs="Arial"/>
          <w:noProof/>
          <w:sz w:val="20"/>
          <w:lang w:val="es-AR"/>
        </w:rPr>
        <w:t xml:space="preserve">{{resolucion_solicitud}} y la </w:t>
      </w:r>
      <w:r w:rsidRPr="00012AA9">
        <w:rPr>
          <w:rFonts w:ascii="Arial" w:hAnsi="Arial" w:cs="Arial"/>
          <w:noProof/>
          <w:sz w:val="20"/>
          <w:lang w:val="es-AR"/>
        </w:rPr>
        <w:t>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BC38D8">
        <w:rPr>
          <w:rFonts w:ascii="Arial" w:hAnsi="Arial" w:cs="Arial"/>
          <w:b/>
          <w:noProof/>
          <w:sz w:val="20"/>
          <w:lang w:val="es-AR"/>
        </w:rPr>
        <w:t>numero_actuacion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3E29BC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</w:t>
      </w:r>
      <w:r w:rsidR="00F56003">
        <w:rPr>
          <w:rFonts w:ascii="Arial" w:hAnsi="Arial" w:cs="Arial"/>
          <w:noProof/>
          <w:sz w:val="20"/>
          <w:lang w:val="es-AR"/>
        </w:rPr>
        <w:t>{parrafo_tres}}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7F1EA6">
        <w:rPr>
          <w:rFonts w:ascii="Arial" w:hAnsi="Arial" w:cs="Arial"/>
          <w:noProof/>
          <w:sz w:val="20"/>
          <w:lang w:val="es-AR"/>
        </w:rPr>
        <w:t>dia_inhabil</w:t>
      </w:r>
      <w:bookmarkStart w:id="0" w:name="_GoBack"/>
      <w:bookmarkEnd w:id="0"/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</w:t>
      </w:r>
      <w:r w:rsidR="00AE6EDE">
        <w:rPr>
          <w:rFonts w:ascii="Arial" w:hAnsi="Arial" w:cs="Arial"/>
          <w:noProof/>
          <w:sz w:val="20"/>
          <w:lang w:val="es-AR"/>
        </w:rPr>
        <w:t>uatro</w:t>
      </w:r>
      <w:r>
        <w:rPr>
          <w:rFonts w:ascii="Arial" w:hAnsi="Arial" w:cs="Arial"/>
          <w:noProof/>
          <w:sz w:val="20"/>
          <w:lang w:val="es-AR"/>
        </w:rPr>
        <w:t>}}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F56003">
        <w:rPr>
          <w:rFonts w:ascii="Arial" w:hAnsi="Arial" w:cs="Arial"/>
          <w:noProof/>
          <w:sz w:val="20"/>
          <w:lang w:val="es-AR"/>
        </w:rPr>
        <w:t>{{articulo_uno}}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70673A" w:rsidRPr="00012AA9" w:rsidRDefault="0070673A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 for agente in articulo_dos%}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 w:rsidR="00892988"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</w:r>
      <w:r w:rsidR="009173CA">
        <w:rPr>
          <w:rFonts w:ascii="Arial" w:hAnsi="Arial" w:cs="Arial"/>
          <w:sz w:val="20"/>
        </w:rPr>
        <w:t>$</w:t>
      </w:r>
      <w:r w:rsidR="002A5E37">
        <w:rPr>
          <w:rFonts w:ascii="Arial" w:hAnsi="Arial" w:cs="Arial"/>
          <w:sz w:val="20"/>
        </w:rPr>
        <w:t>{{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1]</w:t>
      </w:r>
      <w:r w:rsidR="002A5E37">
        <w:rPr>
          <w:rFonts w:ascii="Arial" w:hAnsi="Arial" w:cs="Arial"/>
          <w:sz w:val="20"/>
        </w:rPr>
        <w:t>}}</w:t>
      </w:r>
    </w:p>
    <w:p w:rsidR="005545A2" w:rsidRDefault="002A5E37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</w:t>
      </w:r>
      <w:r w:rsidR="00892988">
        <w:rPr>
          <w:rFonts w:ascii="Arial" w:hAnsi="Arial" w:cs="Arial"/>
          <w:bCs/>
          <w:sz w:val="20"/>
        </w:rPr>
        <w:t>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2]</w:t>
      </w:r>
      <w:r>
        <w:rPr>
          <w:rFonts w:ascii="Arial" w:hAnsi="Arial" w:cs="Arial"/>
          <w:bCs/>
          <w:sz w:val="20"/>
        </w:rPr>
        <w:t>}}</w:t>
      </w:r>
    </w:p>
    <w:p w:rsidR="0025031C" w:rsidRDefault="0070673A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EF" w:rsidRDefault="00EB51EF" w:rsidP="009656FA">
      <w:r>
        <w:separator/>
      </w:r>
    </w:p>
  </w:endnote>
  <w:endnote w:type="continuationSeparator" w:id="0">
    <w:p w:rsidR="00EB51EF" w:rsidRDefault="00EB51EF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EF" w:rsidRDefault="00EB51EF" w:rsidP="009656FA">
      <w:r>
        <w:separator/>
      </w:r>
    </w:p>
  </w:footnote>
  <w:footnote w:type="continuationSeparator" w:id="0">
    <w:p w:rsidR="00EB51EF" w:rsidRDefault="00EB51EF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E5603A" w:rsidRPr="00EF749A" w:rsidRDefault="00023463" w:rsidP="00EF749A">
    <w:pPr>
      <w:ind w:right="23"/>
      <w:jc w:val="center"/>
      <w:rPr>
        <w:rFonts w:ascii="Arial" w:hAnsi="Arial" w:cs="Arial"/>
        <w:sz w:val="22"/>
        <w:szCs w:val="22"/>
        <w:lang w:val="es-MX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5F89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4DAD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1AE9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6CF3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31C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5E37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969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17D6F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3C2B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29BC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5A2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542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4772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199"/>
    <w:rsid w:val="006F7861"/>
    <w:rsid w:val="00702C3E"/>
    <w:rsid w:val="00703C6D"/>
    <w:rsid w:val="0070673A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B34"/>
    <w:rsid w:val="00740D16"/>
    <w:rsid w:val="007412E6"/>
    <w:rsid w:val="00745D5E"/>
    <w:rsid w:val="00746BE2"/>
    <w:rsid w:val="00746CA1"/>
    <w:rsid w:val="007474E9"/>
    <w:rsid w:val="0075241E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EA6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367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2988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1CEB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013C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173CA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1A6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38A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E6EDE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5625"/>
    <w:rsid w:val="00B27577"/>
    <w:rsid w:val="00B27957"/>
    <w:rsid w:val="00B31FAE"/>
    <w:rsid w:val="00B34183"/>
    <w:rsid w:val="00B400E6"/>
    <w:rsid w:val="00B4176A"/>
    <w:rsid w:val="00B41894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2B8"/>
    <w:rsid w:val="00B74378"/>
    <w:rsid w:val="00B751F5"/>
    <w:rsid w:val="00B76871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38D8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6AD2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5568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39C7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4C44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6E91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0C3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87F5E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603A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4D04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1EF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49A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2DB0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6003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5FF3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78C40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6DFF-B928-4DC4-981E-39A02111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403</cp:revision>
  <cp:lastPrinted>2024-01-25T12:56:00Z</cp:lastPrinted>
  <dcterms:created xsi:type="dcterms:W3CDTF">2024-03-15T12:40:00Z</dcterms:created>
  <dcterms:modified xsi:type="dcterms:W3CDTF">2024-09-16T13:13:00Z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