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7A5131"/>
          <w:sz w:val="24"/>
        </w:rPr>
        <w:t>GRÃO E ORIGEM</w:t>
      </w:r>
    </w:p>
    <w:p>
      <w:pPr>
        <w:spacing w:before="840"/>
        <w:jc w:val="center"/>
      </w:pPr>
      <w:r>
        <w:rPr>
          <w:rFonts w:ascii="Liberation Sans" w:hAnsi="Liberation Sans" w:eastAsia="Liberation Sans"/>
          <w:b/>
          <w:color w:val="244A3A"/>
          <w:sz w:val="52"/>
        </w:rPr>
        <w:t>Especificação de Frete e Logística</w:t>
      </w:r>
    </w:p>
    <w:p>
      <w:pPr>
        <w:spacing w:before="160"/>
        <w:jc w:val="center"/>
      </w:pPr>
      <w:r>
        <w:rPr>
          <w:rFonts w:ascii="Liberation Sans" w:hAnsi="Liberation Sans" w:eastAsia="Liberation Sans"/>
          <w:color w:val="7A5131"/>
          <w:sz w:val="26"/>
        </w:rPr>
        <w:t>Integração com Melhor Envio e operação descentralizada por produtor</w:t>
      </w:r>
    </w:p>
    <w:p>
      <w:pPr>
        <w:spacing w:before="840"/>
        <w:jc w:val="center"/>
      </w:pPr>
      <w:r>
        <w:rPr>
          <w:rFonts w:ascii="Liberation Sans" w:hAnsi="Liberation Sans" w:eastAsia="Liberation Sans"/>
          <w:color w:val="5D6460"/>
          <w:sz w:val="20"/>
        </w:rPr>
        <w:t>Versão 1.0</w:t>
        <w:br/>
        <w:t>5 de agosto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36"/>
            <w:shd w:fill="F4EFE6"/>
            <w:tcBorders>
              <w:top w:val="single" w:sz="8" w:color="7A5131"/>
              <w:left w:val="single" w:sz="8" w:color="7A5131"/>
              <w:bottom w:val="single" w:sz="8" w:color="7A5131"/>
              <w:right w:val="single" w:sz="8" w:color="7A5131"/>
            </w:tcBorders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244A3A"/>
                <w:sz w:val="21"/>
              </w:rPr>
              <w:t>ESPECIFICAÇÃO PARA IMPLEMENTAÇÃO DO MVP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Status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Aprovado para implementação do MVP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Decisão principal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Melhor Envio com conta central da Grão e Origem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Origem do envio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Endereço logístico de cada produtor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Postagem inicial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Pontos em Caratinga/MG, conforme rotina definida pelo produtor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Responsável pela embalagem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Produtor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Responsável pela etiqueta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Grão e Origem</w:t>
            </w:r>
          </w:p>
        </w:tc>
      </w:tr>
      <w:tr>
        <w:tc>
          <w:tcPr>
            <w:tcW w:type="dxa" w:w="2592"/>
            <w:shd w:fill="EEF3EF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sz w:val="17"/>
              </w:rPr>
              <w:t>Gatilho financeiro</w:t>
            </w:r>
          </w:p>
        </w:tc>
        <w:tc>
          <w:tcPr>
            <w:tcW w:type="dxa" w:w="7056"/>
            <w:tcBorders>
              <w:top w:val="single" w:sz="4" w:color="C8D2CC"/>
              <w:left w:val="single" w:sz="4" w:color="C8D2CC"/>
              <w:bottom w:val="single" w:sz="4" w:color="C8D2CC"/>
              <w:right w:val="single" w:sz="4" w:color="C8D2CC"/>
            </w:tcBorders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 w:val="0"/>
                <w:sz w:val="17"/>
              </w:rPr>
              <w:t>Evento oficial de postagem confirmado pelo Melhor Envio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244A3A"/>
            <w:tcBorders>
              <w:top w:val="single" w:sz="5" w:color="244A3A"/>
              <w:left w:val="single" w:sz="5" w:color="244A3A"/>
              <w:bottom w:val="single" w:sz="5" w:color="244A3A"/>
              <w:right w:val="single" w:sz="5" w:color="244A3A"/>
            </w:tcBorders>
          </w:tcPr>
          <w:p>
            <w:r>
              <w:rPr>
                <w:rFonts w:ascii="Liberation Sans" w:hAnsi="Liberation Sans" w:eastAsia="Liberation Sans"/>
                <w:b/>
                <w:color w:val="FFFFFF"/>
                <w:sz w:val="20"/>
              </w:rPr>
              <w:t>DECISÃO FECHADA</w:t>
            </w:r>
          </w:p>
        </w:tc>
      </w:tr>
      <w:tr>
        <w:tc>
          <w:tcPr>
            <w:tcW w:type="dxa" w:w="9936"/>
            <w:shd w:fill="EEF3EF"/>
            <w:tcBorders>
              <w:top w:val="single" w:sz="5" w:color="244A3A"/>
              <w:left w:val="single" w:sz="5" w:color="244A3A"/>
              <w:bottom w:val="single" w:sz="5" w:color="244A3A"/>
              <w:right w:val="single" w:sz="5" w:color="244A3A"/>
            </w:tcBorders>
          </w:tcPr>
          <w:p>
            <w:r>
              <w:rPr>
                <w:rFonts w:ascii="Liberation Sans" w:hAnsi="Liberation Sans" w:eastAsia="Liberation Sans"/>
                <w:color w:val="1C211E"/>
                <w:sz w:val="18"/>
              </w:rPr>
              <w:t>A Grão e Origem utilizará a API do Melhor Envio para cotar, comprar, gerar e acompanhar etiquetas. Cada produtor manterá seu estoque, embalará o pedido e realizará a postagem em dias previamente cadastrados. A plataforma não terá centro de distribuição no MVP.</w:t>
            </w:r>
          </w:p>
        </w:tc>
      </w:tr>
    </w:tbl>
    <w:p/>
    <w:p>
      <w:pPr>
        <w:pStyle w:val="Heading1"/>
      </w:pPr>
      <w:r>
        <w:t>1. Objetivo</w:t>
      </w:r>
    </w:p>
    <w:p>
      <w:r>
        <w:t>Definir a lógica operacional e técnica do frete da Grão e Origem, permitindo vender cafés de diferentes produtores sem coleta própria, estoque central ou contratação individual de transportadoras. A solução deve reduzir atrito para o produtor, apresentar opções claras ao comprador e manter a arquitetura preparada para escala nacional.</w:t>
      </w:r>
    </w:p>
    <w:p>
      <w:pPr>
        <w:pStyle w:val="Heading1"/>
      </w:pPr>
      <w:r>
        <w:t>2. Escopo e premissas do MVP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Os primeiros produtores serão convidados e cadastrados pela equipe da Grão e Origem.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Os produtores já terão produto embalado para venda ou receberão orientação para padronização.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Cada produtor terá um endereço de origem e uma rotina de postagem própria.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Para a região inicial, considera-se a postagem em Caratinga/MG, uma ou mais vezes por semana.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comprador paga o frete no checkout; a Grão e Origem compra a etiqueta no Melhor Envio.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confirmação de postagem vem do webhook do Melhor Envio, e não de um botão do 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domínio deve aceitar carrinho com vários produtores, gerando um subpedido e um envio por produtor.</w:t>
      </w:r>
    </w:p>
    <w:p>
      <w:pPr>
        <w:pStyle w:val="Heading1"/>
      </w:pPr>
      <w:r>
        <w:t>3. Por que o Melhor Envio</w:t>
      </w:r>
    </w:p>
    <w:p>
      <w:r>
        <w:t>A API do Melhor Envio foi escolhida porque atende plataformas próprias e marketplaces, não cobra mensalidade específica pela integração e reúne cotação, carrinho de etiquetas, checkout, geração, impressão e rastreio em um único fluxo [ME1].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Avaliação para o MVP</w:t>
            </w:r>
          </w:p>
        </w:tc>
      </w:tr>
      <w:tr>
        <w:tc>
          <w:tcPr>
            <w:tcW w:type="dxa" w:w="25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Velocidade de implantação</w:t>
            </w:r>
          </w:p>
        </w:tc>
        <w:tc>
          <w:tcPr>
            <w:tcW w:type="dxa" w:w="69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Boa: documentação, sandbox e fluxo de etiqueta já estruturado.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Cobertura</w:t>
            </w:r>
          </w:p>
        </w:tc>
        <w:tc>
          <w:tcPr>
            <w:tcW w:type="dxa" w:w="69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Permite consultar serviços disponíveis por origem, destino, peso e dimensões.</w:t>
            </w:r>
          </w:p>
        </w:tc>
      </w:tr>
      <w:tr>
        <w:tc>
          <w:tcPr>
            <w:tcW w:type="dxa" w:w="25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Experiência do produtor</w:t>
            </w:r>
          </w:p>
        </w:tc>
        <w:tc>
          <w:tcPr>
            <w:tcW w:type="dxa" w:w="69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Recebe etiqueta pronta e apenas embala e posta.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Custo fixo</w:t>
            </w:r>
          </w:p>
        </w:tc>
        <w:tc>
          <w:tcPr>
            <w:tcW w:type="dxa" w:w="69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Sem mensalidade específica de API; há pagamento de cada etiqueta.</w:t>
            </w:r>
          </w:p>
        </w:tc>
      </w:tr>
      <w:tr>
        <w:tc>
          <w:tcPr>
            <w:tcW w:type="dxa" w:w="25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Escalabilidade</w:t>
            </w:r>
          </w:p>
        </w:tc>
        <w:tc>
          <w:tcPr>
            <w:tcW w:type="dxa" w:w="69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A mesma integração pode atender produtores em diferentes estados.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Substituição futura</w:t>
            </w:r>
          </w:p>
        </w:tc>
        <w:tc>
          <w:tcPr>
            <w:tcW w:type="dxa" w:w="69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A integração ficará isolada atrás de uma interface interna de frete.</w:t>
            </w:r>
          </w:p>
        </w:tc>
      </w:tr>
    </w:tbl>
    <w:p/>
    <w:p>
      <w:pPr>
        <w:pStyle w:val="Heading1"/>
      </w:pPr>
      <w:r>
        <w:t>4. Modelo operacional</w:t>
      </w:r>
    </w:p>
    <w:p>
      <w:pPr>
        <w:pStyle w:val="Heading2"/>
      </w:pPr>
      <w:r>
        <w:t>4.1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16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Parte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Responsabilidades</w:t>
            </w:r>
          </w:p>
        </w:tc>
      </w:tr>
      <w:tr>
        <w:tc>
          <w:tcPr>
            <w:tcW w:type="dxa" w:w="208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Comprador</w:t>
            </w:r>
          </w:p>
        </w:tc>
        <w:tc>
          <w:tcPr>
            <w:tcW w:type="dxa" w:w="741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Informar endereço, escolher opção de entrega, pagar pedido e acompanhar rastreio.</w:t>
            </w:r>
          </w:p>
        </w:tc>
      </w:tr>
      <w:tr>
        <w:tc>
          <w:tcPr>
            <w:tcW w:type="dxa" w:w="2088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Grão e Origem</w:t>
            </w:r>
          </w:p>
        </w:tc>
        <w:tc>
          <w:tcPr>
            <w:tcW w:type="dxa" w:w="741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Calcular frete, cobrar, comprar etiqueta, disponibilizar documentos, receber webhooks, acompanhar exceções e atender o cliente.</w:t>
            </w:r>
          </w:p>
        </w:tc>
      </w:tr>
      <w:tr>
        <w:tc>
          <w:tcPr>
            <w:tcW w:type="dxa" w:w="208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Produtor</w:t>
            </w:r>
          </w:p>
        </w:tc>
        <w:tc>
          <w:tcPr>
            <w:tcW w:type="dxa" w:w="741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Manter estoque, usar a embalagem indicada, separar o café, conferir o pedido, anexar documentos e levar ao ponto de postagem.</w:t>
            </w:r>
          </w:p>
        </w:tc>
      </w:tr>
      <w:tr>
        <w:tc>
          <w:tcPr>
            <w:tcW w:type="dxa" w:w="2088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Melhor Envio</w:t>
            </w:r>
          </w:p>
        </w:tc>
        <w:tc>
          <w:tcPr>
            <w:tcW w:type="dxa" w:w="741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Intermediar cotação e etiqueta e informar eventos do ciclo logístico.</w:t>
            </w:r>
          </w:p>
        </w:tc>
      </w:tr>
      <w:tr>
        <w:tc>
          <w:tcPr>
            <w:tcW w:type="dxa" w:w="208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Transportadora</w:t>
            </w:r>
          </w:p>
        </w:tc>
        <w:tc>
          <w:tcPr>
            <w:tcW w:type="dxa" w:w="741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Receber, movimentar, rastrear e entregar a encomenda.</w:t>
            </w:r>
          </w:p>
        </w:tc>
      </w:tr>
    </w:tbl>
    <w:p/>
    <w:p>
      <w:pPr>
        <w:pStyle w:val="Heading2"/>
      </w:pPr>
      <w:r>
        <w:t>4.2 Fluxo ponta a ponta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1.  O comprador adiciona produtos ao carrinho.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2.  O backend agrupa os itens por produtor e cria uma simulação de volume para cada grupo.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3.  O sistema consulta o Melhor Envio separadamente para cada origem e destino.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4.  A Grão e Origem filtra os serviços permitidos e apresenta opções simples, como Econômico e Rápido.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5.  O comprador conclui um único pagamento contendo produtos e fretes.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6.  Após confirmação do pagamento, é criado um subpedido para cada produtor.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7.  O produtor prepara o pedido e marca “Pedido embalado”.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8.  A Grão e Origem insere o frete no carrinho do Melhor Envio, paga a etiqueta usando saldo da carteira e solicita sua geração [ME3][ME4].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9.  O produtor recebe a etiqueta e os documentos, imprime ou utiliza o ponto de apoio definido e realiza a postagem.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10.  A transportadora registra a postagem; o Melhor Envio envia o evento order.posted [ME5].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11.  O subpedido fica elegível para repasse ao produtor e o rastreio passa a ser exibido ao comprador.</w:t>
      </w:r>
    </w:p>
    <w:p>
      <w:pPr>
        <w:spacing w:after="40"/>
        <w:ind w:left="461" w:hanging="461"/>
      </w:pPr>
      <w:r>
        <w:rPr>
          <w:rFonts w:ascii="Liberation Sans" w:hAnsi="Liberation Sans" w:eastAsia="Liberation Sans"/>
          <w:sz w:val="18"/>
        </w:rPr>
        <w:t>12.  A plataforma acompanha entrega, falha, suspensão, cancelamento e demais eventos até o encerramento.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4"/>
            <w:tcBorders>
              <w:top w:val="single" w:sz="4" w:color="C9CFCC"/>
              <w:left w:val="single" w:sz="4" w:color="C9CFCC"/>
              <w:bottom w:val="single" w:sz="4" w:color="C9CFCC"/>
              <w:right w:val="single" w:sz="4" w:color="C9CFCC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2F3732"/>
                <w:sz w:val="16"/>
              </w:rPr>
              <w:t>Carrinho do comprador</w:t>
              <w:br/>
              <w:t xml:space="preserve">  └─ Agrupamento por produtor</w:t>
              <w:br/>
              <w:t xml:space="preserve">       ├─ Subpedido A → Cotação A → Etiqueta A → Rastreio A</w:t>
              <w:br/>
              <w:t xml:space="preserve">       └─ Subpedido B → Cotação B → Etiqueta B → Rastreio B</w:t>
              <w:br/>
              <w:t xml:space="preserve">  └─ Um pagamento total na Grão e Origem</w:t>
            </w:r>
          </w:p>
        </w:tc>
      </w:tr>
    </w:tbl>
    <w:p/>
    <w:p>
      <w:pPr>
        <w:pStyle w:val="Heading1"/>
      </w:pPr>
      <w:r>
        <w:t>5. Regras de cotação e escolha do frete</w:t>
      </w:r>
    </w:p>
    <w:p>
      <w:r>
        <w:t>O Melhor Envio aceita cotação informando produtos ou volumes previamente calculados. No MVP, a Grão e Origem manterá modelos próprios de embalagem e enviará os volumes calculados, evitando que o empacotamento varie de forma imprevisível [ME2].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Uma cotação por produtor, pois cada produtor possui origem própria.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CEP de destino é o endereço do comprador.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Peso e dimensões incluem café, saco, caixa, proteção e documentos.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Serviços sem ponto de postagem viável para o produtor devem ser ocultados.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opção exibida ao comprador deve incluir preço final e prazo total.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prazo total é: tempo até a próxima postagem + prazo da transportadora + margem operacional configurável.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valor da cotação deve ter validade curta no checkout; se expirar, deve ser recalculado.</w:t>
      </w:r>
    </w:p>
    <w:p>
      <w:pPr>
        <w:pStyle w:val="Heading2"/>
      </w:pPr>
      <w:r>
        <w:t>5.1 Apresentação ao comprador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Rótulo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16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Econômico</w:t>
            </w:r>
          </w:p>
        </w:tc>
        <w:tc>
          <w:tcPr>
            <w:tcW w:type="dxa" w:w="734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Menor preço entre os serviços permitidos.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Rápido</w:t>
            </w:r>
          </w:p>
        </w:tc>
        <w:tc>
          <w:tcPr>
            <w:tcW w:type="dxa" w:w="734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Menor prazo entre os serviços permitidos.</w:t>
            </w:r>
          </w:p>
        </w:tc>
      </w:tr>
      <w:tr>
        <w:tc>
          <w:tcPr>
            <w:tcW w:type="dxa" w:w="216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Recomendado</w:t>
            </w:r>
          </w:p>
        </w:tc>
        <w:tc>
          <w:tcPr>
            <w:tcW w:type="dxa" w:w="734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Opcional; equilíbrio entre preço, prazo e histórico de confiabilidade.</w:t>
            </w:r>
          </w:p>
        </w:tc>
      </w:tr>
    </w:tbl>
    <w:p/>
    <w:p>
      <w:pPr>
        <w:pStyle w:val="Heading1"/>
      </w:pPr>
      <w:r>
        <w:t>6. Embalagens padronizadas</w:t>
      </w:r>
    </w:p>
    <w:p>
      <w:r>
        <w:t>Os modelos abaixo são estruturas iniciais. As medidas finais devem ser validadas com embalagens reais antes de publicar preços de frete.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2880"/>
        <w:gridCol w:w="5328"/>
      </w:tblGrid>
      <w:tr>
        <w:trPr>
          <w:tblHeader w:val="true"/>
        </w:trPr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Uso esperado</w:t>
            </w:r>
          </w:p>
        </w:tc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Dados obrigatórios</w:t>
            </w:r>
          </w:p>
        </w:tc>
      </w:tr>
      <w:tr>
        <w:tc>
          <w:tcPr>
            <w:tcW w:type="dxa" w:w="129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CX-P</w:t>
            </w:r>
          </w:p>
        </w:tc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1 a 2 pacotes pequenos</w:t>
            </w:r>
          </w:p>
        </w:tc>
        <w:tc>
          <w:tcPr>
            <w:tcW w:type="dxa" w:w="532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Comprimento, largura, altura, peso vazio, peso máximo e material.</w:t>
            </w:r>
          </w:p>
        </w:tc>
      </w:tr>
      <w:tr>
        <w:tc>
          <w:tcPr>
            <w:tcW w:type="dxa" w:w="1296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CX-M</w:t>
            </w:r>
          </w:p>
        </w:tc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Pedidos médios de um produtor</w:t>
            </w:r>
          </w:p>
        </w:tc>
        <w:tc>
          <w:tcPr>
            <w:tcW w:type="dxa" w:w="5328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Comprimento, largura, altura, peso vazio, peso máximo e material.</w:t>
            </w:r>
          </w:p>
        </w:tc>
      </w:tr>
      <w:tr>
        <w:tc>
          <w:tcPr>
            <w:tcW w:type="dxa" w:w="1296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CX-G</w:t>
            </w:r>
          </w:p>
        </w:tc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Kits ou múltiplos quilos</w:t>
            </w:r>
          </w:p>
        </w:tc>
        <w:tc>
          <w:tcPr>
            <w:tcW w:type="dxa" w:w="5328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Comprimento, largura, altura, peso vazio, peso máximo e material.</w:t>
            </w:r>
          </w:p>
        </w:tc>
      </w:tr>
    </w:tbl>
    <w:p/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sistema seleciona a menor caixa compatível com todos os itens do subpedido.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Se nenhum modelo comportar os itens, o pedido deve ser dividido em mais de um volume.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produtor deve receber instrução explícita da caixa a utilizar.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Diferenças de peso ou dimensão identificadas pela transportadora devem ser conciliadas e registradas.</w:t>
      </w:r>
    </w:p>
    <w:p>
      <w:pPr>
        <w:pStyle w:val="Heading1"/>
      </w:pPr>
      <w:r>
        <w:t>7. Rotina de postagem do produtor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Dias de postagem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Terça e sexta-feira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Horário de corte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Pedidos pagos até 12h do dia anterior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Ponto padrão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Caratinga/MG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Prazo de preparação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Até 2 dias úteis</w:t>
            </w:r>
          </w:p>
        </w:tc>
      </w:tr>
      <w:tr>
        <w:tc>
          <w:tcPr>
            <w:tcW w:type="dxa" w:w="288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Impressão disponível</w:t>
            </w:r>
          </w:p>
        </w:tc>
        <w:tc>
          <w:tcPr>
            <w:tcW w:type="dxa" w:w="662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Não; usa ponto de apoio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Serviços aceitos</w:t>
            </w:r>
          </w:p>
        </w:tc>
        <w:tc>
          <w:tcPr>
            <w:tcW w:type="dxa" w:w="662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6"/>
              </w:rPr>
              <w:t>Correios e outros serviços validados para o ponto</w:t>
            </w:r>
          </w:p>
        </w:tc>
      </w:tr>
    </w:tbl>
    <w:p/>
    <w:p>
      <w:r>
        <w:t>A agenda deve ser usada no cálculo do prazo prometido. O sistema não deve prometer apenas o prazo da transportadora quando o produtor posta em dias específicos.</w:t>
      </w:r>
    </w:p>
    <w:p>
      <w:pPr>
        <w:pStyle w:val="Heading1"/>
      </w:pPr>
      <w:r>
        <w:t>8. Etiqueta e documentos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etiqueta só pode ser comprada após estar no carrinho do Melhor Envio e deve ser paga com saldo disponível na carteira [ME4].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Após o checkout da etiqueta, a plataforma solicita geração e impressão; a etiqueta é colada na embalagem [ME6].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etiqueta deve ser gerada próxima ao dia de postagem para reduzir risco de expiração.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equipe deve oferecer alternativa de impressão para produtores sem impressora.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Os documentos fiscais aplicáveis devem acompanhar a encomenda conforme o modelo fiscal adotado.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Nenhum dado bancário do produtor deve aparecer na etiqueta ou na experiência do comprador.</w:t>
      </w:r>
    </w:p>
    <w:p>
      <w:pPr>
        <w:pStyle w:val="Heading1"/>
      </w:pPr>
      <w:r>
        <w:t>9. Estados do envio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232"/>
        <w:gridCol w:w="5112"/>
      </w:tblGrid>
      <w:tr>
        <w:trPr>
          <w:tblHeader w:val="true"/>
        </w:trPr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Estado interno</w:t>
            </w:r>
          </w:p>
        </w:tc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Origem</w:t>
            </w:r>
          </w:p>
        </w:tc>
        <w:tc>
          <w:tcPr>
            <w:tcW w:type="dxa" w:w="3312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Significado</w:t>
            </w:r>
          </w:p>
        </w:tc>
      </w:tr>
      <w:tr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AWAITING_PAYMENT</w:t>
            </w:r>
          </w:p>
        </w:tc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Grão e Origem</w:t>
            </w:r>
          </w:p>
        </w:tc>
        <w:tc>
          <w:tcPr>
            <w:tcW w:type="dxa" w:w="51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Pedido criado, ainda sem confirmação financeira.</w:t>
            </w:r>
          </w:p>
        </w:tc>
      </w:tr>
      <w:tr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PAID</w:t>
            </w:r>
          </w:p>
        </w:tc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API de pagamento</w:t>
            </w:r>
          </w:p>
        </w:tc>
        <w:tc>
          <w:tcPr>
            <w:tcW w:type="dxa" w:w="51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Pagamento aprovado para preparação.</w:t>
            </w:r>
          </w:p>
        </w:tc>
      </w:tr>
      <w:tr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PREPARING</w:t>
            </w:r>
          </w:p>
        </w:tc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Produtor</w:t>
            </w:r>
          </w:p>
        </w:tc>
        <w:tc>
          <w:tcPr>
            <w:tcW w:type="dxa" w:w="51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Separação e embalagem em andamento.</w:t>
            </w:r>
          </w:p>
        </w:tc>
      </w:tr>
      <w:tr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READY_FOR_LABEL</w:t>
            </w:r>
          </w:p>
        </w:tc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Produtor/administrador</w:t>
            </w:r>
          </w:p>
        </w:tc>
        <w:tc>
          <w:tcPr>
            <w:tcW w:type="dxa" w:w="51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Pacote pronto para geração da etiqueta.</w:t>
            </w:r>
          </w:p>
        </w:tc>
      </w:tr>
      <w:tr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LABEL_CREATED</w:t>
            </w:r>
          </w:p>
        </w:tc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Melhor Envio</w:t>
            </w:r>
          </w:p>
        </w:tc>
        <w:tc>
          <w:tcPr>
            <w:tcW w:type="dxa" w:w="51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Etiqueta inserida no carrinho.</w:t>
            </w:r>
          </w:p>
        </w:tc>
      </w:tr>
      <w:tr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LABEL_PAID</w:t>
            </w:r>
          </w:p>
        </w:tc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Melhor Envio</w:t>
            </w:r>
          </w:p>
        </w:tc>
        <w:tc>
          <w:tcPr>
            <w:tcW w:type="dxa" w:w="51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Etiqueta paga.</w:t>
            </w:r>
          </w:p>
        </w:tc>
      </w:tr>
      <w:tr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LABEL_GENERATED</w:t>
            </w:r>
          </w:p>
        </w:tc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Melhor Envio</w:t>
            </w:r>
          </w:p>
        </w:tc>
        <w:tc>
          <w:tcPr>
            <w:tcW w:type="dxa" w:w="51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Arquivo disponível para impressão.</w:t>
            </w:r>
          </w:p>
        </w:tc>
      </w:tr>
      <w:tr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AWAITING_POSTING</w:t>
            </w:r>
          </w:p>
        </w:tc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Grão e Origem</w:t>
            </w:r>
          </w:p>
        </w:tc>
        <w:tc>
          <w:tcPr>
            <w:tcW w:type="dxa" w:w="51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Etiqueta entregue ao produtor; aguarda postagem.</w:t>
            </w:r>
          </w:p>
        </w:tc>
      </w:tr>
      <w:tr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POSTED</w:t>
            </w:r>
          </w:p>
        </w:tc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Webhook order.posted</w:t>
            </w:r>
          </w:p>
        </w:tc>
        <w:tc>
          <w:tcPr>
            <w:tcW w:type="dxa" w:w="51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Transportadora recebeu o pacote.</w:t>
            </w:r>
          </w:p>
        </w:tc>
      </w:tr>
      <w:tr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IN_TRANSIT</w:t>
            </w:r>
          </w:p>
        </w:tc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Rastreio</w:t>
            </w:r>
          </w:p>
        </w:tc>
        <w:tc>
          <w:tcPr>
            <w:tcW w:type="dxa" w:w="51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Pacote em deslocamento.</w:t>
            </w:r>
          </w:p>
        </w:tc>
      </w:tr>
      <w:tr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DELIVERED</w:t>
            </w:r>
          </w:p>
        </w:tc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Webhook order.delivered</w:t>
            </w:r>
          </w:p>
        </w:tc>
        <w:tc>
          <w:tcPr>
            <w:tcW w:type="dxa" w:w="51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Entrega concluída.</w:t>
            </w:r>
          </w:p>
        </w:tc>
      </w:tr>
      <w:tr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UNDELIVERED / PAUSED / SUSPENDED</w:t>
            </w:r>
          </w:p>
        </w:tc>
        <w:tc>
          <w:tcPr>
            <w:tcW w:type="dxa" w:w="223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Webhook</w:t>
            </w:r>
          </w:p>
        </w:tc>
        <w:tc>
          <w:tcPr>
            <w:tcW w:type="dxa" w:w="51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Exceção logística que exige tratamento.</w:t>
            </w:r>
          </w:p>
        </w:tc>
      </w:tr>
      <w:tr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CANCELLED</w:t>
            </w:r>
          </w:p>
        </w:tc>
        <w:tc>
          <w:tcPr>
            <w:tcW w:type="dxa" w:w="223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Sistema/ME</w:t>
            </w:r>
          </w:p>
        </w:tc>
        <w:tc>
          <w:tcPr>
            <w:tcW w:type="dxa" w:w="51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Envio cancelado.</w:t>
            </w:r>
          </w:p>
        </w:tc>
      </w:tr>
    </w:tbl>
    <w:p/>
    <w:p>
      <w:pPr>
        <w:pStyle w:val="Heading1"/>
      </w:pPr>
      <w:r>
        <w:t>10. Webhooks e segurança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Receber os eventos do Melhor Envio somente para etiquetas criadas pelo mesmo aplicativo integrado [ME5].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Validar o cabeçalho X-ME-Signature com HMAC-SHA256 antes de processar o evento.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Registrar o ID do evento/etiqueta e aplicar idempotência para evitar processamento duplicado.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botão “Já postei” não libera pagamento; ele apenas informa a operação e aguarda order.posted.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código de rastreamento pode aparecer depois da postagem; o gatilho de repasse é o status POSTED, não a existência do tracking.</w:t>
      </w:r>
    </w:p>
    <w:p>
      <w:pPr>
        <w:pStyle w:val="Heading1"/>
      </w:pPr>
      <w:r>
        <w:t>11. Modelo de dados mínimo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840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Entidade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Campos essenciais</w:t>
            </w:r>
          </w:p>
        </w:tc>
      </w:tr>
      <w:tr>
        <w:tc>
          <w:tcPr>
            <w:tcW w:type="dxa" w:w="266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ProducerLogisticsProfile</w:t>
            </w:r>
          </w:p>
        </w:tc>
        <w:tc>
          <w:tcPr>
            <w:tcW w:type="dxa" w:w="684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producerId, originAddress, postingDays, cutoffTime, preparationDays, acceptedServices, printCapability, defaultDropoffPoint.</w:t>
            </w:r>
          </w:p>
        </w:tc>
      </w:tr>
      <w:tr>
        <w:tc>
          <w:tcPr>
            <w:tcW w:type="dxa" w:w="266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PackagingTemplate</w:t>
            </w:r>
          </w:p>
        </w:tc>
        <w:tc>
          <w:tcPr>
            <w:tcW w:type="dxa" w:w="684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code, dimensions, emptyWeight, maxWeight, material, active.</w:t>
            </w:r>
          </w:p>
        </w:tc>
      </w:tr>
      <w:tr>
        <w:tc>
          <w:tcPr>
            <w:tcW w:type="dxa" w:w="266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ShippingQuote</w:t>
            </w:r>
          </w:p>
        </w:tc>
        <w:tc>
          <w:tcPr>
            <w:tcW w:type="dxa" w:w="684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sellerOrderId, serviceId, carrier, price, deliveryDays, totalPromiseDays, expiresAt, rawResponse.</w:t>
            </w:r>
          </w:p>
        </w:tc>
      </w:tr>
      <w:tr>
        <w:tc>
          <w:tcPr>
            <w:tcW w:type="dxa" w:w="266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Shipment</w:t>
            </w:r>
          </w:p>
        </w:tc>
        <w:tc>
          <w:tcPr>
            <w:tcW w:type="dxa" w:w="684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sellerOrderId, provider, providerOrderId, labelUrl, trackingCode, quotedCost, finalCost, status, postedAt, deliveredAt.</w:t>
            </w:r>
          </w:p>
        </w:tc>
      </w:tr>
      <w:tr>
        <w:tc>
          <w:tcPr>
            <w:tcW w:type="dxa" w:w="2664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SellerOrder</w:t>
            </w:r>
          </w:p>
        </w:tc>
        <w:tc>
          <w:tcPr>
            <w:tcW w:type="dxa" w:w="6840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orderId, producerId, items, subtotal, shippingAmount, status, payoutEligibility.</w:t>
            </w:r>
          </w:p>
        </w:tc>
      </w:tr>
      <w:tr>
        <w:tc>
          <w:tcPr>
            <w:tcW w:type="dxa" w:w="2664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WebhookEvent</w:t>
            </w:r>
          </w:p>
        </w:tc>
        <w:tc>
          <w:tcPr>
            <w:tcW w:type="dxa" w:w="6840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provider, eventId, eventType, signatureValid, receivedAt, processedAt, payloadHash.</w:t>
            </w:r>
          </w:p>
        </w:tc>
      </w:tr>
    </w:tbl>
    <w:p/>
    <w:p>
      <w:pPr>
        <w:pStyle w:val="Heading1"/>
      </w:pPr>
      <w:r>
        <w:t>12. Interface interna de frete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4"/>
            <w:tcBorders>
              <w:top w:val="single" w:sz="4" w:color="C9CFCC"/>
              <w:left w:val="single" w:sz="4" w:color="C9CFCC"/>
              <w:bottom w:val="single" w:sz="4" w:color="C9CFCC"/>
              <w:right w:val="single" w:sz="4" w:color="C9CFCC"/>
            </w:tcBorders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2F3732"/>
                <w:sz w:val="16"/>
              </w:rPr>
              <w:t>ShippingProvider</w:t>
              <w:br/>
              <w:t xml:space="preserve">  quote(origin, destination, packages, options)</w:t>
              <w:br/>
              <w:t xml:space="preserve">  createShipment(quote, sender, recipient, documents)</w:t>
              <w:br/>
              <w:t xml:space="preserve">  purchaseLabel(shipmentIds)</w:t>
              <w:br/>
              <w:t xml:space="preserve">  generateLabel(shipmentId)</w:t>
              <w:br/>
              <w:t xml:space="preserve">  getLabel(shipmentId)</w:t>
              <w:br/>
              <w:t xml:space="preserve">  cancelShipment(shipmentId)</w:t>
              <w:br/>
              <w:t xml:space="preserve">  trackShipment(shipmentId)</w:t>
              <w:br/>
              <w:t xml:space="preserve">  validateWebhook(headers, body)</w:t>
            </w:r>
          </w:p>
        </w:tc>
      </w:tr>
    </w:tbl>
    <w:p/>
    <w:p>
      <w:r>
        <w:t>A primeira implementação será MelhorEnvioShippingProvider. Nenhuma regra de negócio deve depender diretamente de nomes de campos do Melhor Envio fora do adaptador.</w:t>
      </w:r>
    </w:p>
    <w:p>
      <w:pPr>
        <w:pStyle w:val="Heading1"/>
      </w:pPr>
      <w:r>
        <w:t>13. Regras de exceção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192"/>
      </w:tblGrid>
      <w:tr>
        <w:trPr>
          <w:tblHeader w:val="true"/>
        </w:trPr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4968"/>
            <w:shd w:fill="244A3A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Tratamento inicial</w:t>
            </w:r>
          </w:p>
        </w:tc>
      </w:tr>
      <w:tr>
        <w:tc>
          <w:tcPr>
            <w:tcW w:type="dxa" w:w="33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Pagamento aprovado, produto sem estoque</w:t>
            </w:r>
          </w:p>
        </w:tc>
        <w:tc>
          <w:tcPr>
            <w:tcW w:type="dxa" w:w="61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Bloquear etiqueta; oferecer substituição ou estorno.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Produtor não prepara no prazo</w:t>
            </w:r>
          </w:p>
        </w:tc>
        <w:tc>
          <w:tcPr>
            <w:tcW w:type="dxa" w:w="61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Notificar, escalar para administrador e permitir cancelamento.</w:t>
            </w:r>
          </w:p>
        </w:tc>
      </w:tr>
      <w:tr>
        <w:tc>
          <w:tcPr>
            <w:tcW w:type="dxa" w:w="33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Etiqueta expirada</w:t>
            </w:r>
          </w:p>
        </w:tc>
        <w:tc>
          <w:tcPr>
            <w:tcW w:type="dxa" w:w="61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Cancelar e gerar nova; registrar eventual custo.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Postagem não confirmada</w:t>
            </w:r>
          </w:p>
        </w:tc>
        <w:tc>
          <w:tcPr>
            <w:tcW w:type="dxa" w:w="61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Não liberar repasse; solicitar comprovante e consultar transportadora.</w:t>
            </w:r>
          </w:p>
        </w:tc>
      </w:tr>
      <w:tr>
        <w:tc>
          <w:tcPr>
            <w:tcW w:type="dxa" w:w="33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Frete final maior que o cobrado</w:t>
            </w:r>
          </w:p>
        </w:tc>
        <w:tc>
          <w:tcPr>
            <w:tcW w:type="dxa" w:w="61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Registrar diferença; absorver no MVP e revisar embalagem/cotação.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Entrega falhou</w:t>
            </w:r>
          </w:p>
        </w:tc>
        <w:tc>
          <w:tcPr>
            <w:tcW w:type="dxa" w:w="6192"/>
            <w:vAlign w:val="center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Abrir atendimento e seguir regras da transportadora.</w:t>
            </w:r>
          </w:p>
        </w:tc>
      </w:tr>
      <w:tr>
        <w:tc>
          <w:tcPr>
            <w:tcW w:type="dxa" w:w="331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Pedido com vários produtores</w:t>
            </w:r>
          </w:p>
        </w:tc>
        <w:tc>
          <w:tcPr>
            <w:tcW w:type="dxa" w:w="6192"/>
            <w:vAlign w:val="center"/>
            <w:shd w:fill="F8FAF8"/>
            <w:tcBorders>
              <w:top w:val="single" w:sz="3" w:color="C8D2CC"/>
              <w:left w:val="single" w:sz="3" w:color="C8D2CC"/>
              <w:bottom w:val="single" w:sz="3" w:color="C8D2CC"/>
              <w:right w:val="single" w:sz="3" w:color="C8D2CC"/>
            </w:tcBorders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5"/>
              </w:rPr>
              <w:t>Tratar cada SellerOrder e Shipment independentemente.</w:t>
            </w:r>
          </w:p>
        </w:tc>
      </w:tr>
    </w:tbl>
    <w:p/>
    <w:p>
      <w:pPr>
        <w:pStyle w:val="Heading1"/>
      </w:pPr>
      <w:r>
        <w:t>14. Escopo técnico do MVP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Cadastro administrativo do perfil logístico do 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Cadastro de embalagens e associação de produtos a regras de empacotamento.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Agrupamento do carrinho por 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Cotação e seleção de frete por subpedido.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Compra e geração de etiqueta por conta central.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Painel administrativo para reenviar etiqueta e acompanhar estados.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Webhook do Melhor Envio com validação de assinatura e idempotência.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Rastreio no painel do comprador.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Gatilho “payout eligible” após order.posted.</w:t>
      </w:r>
    </w:p>
    <w:p>
      <w:pPr>
        <w:pStyle w:val="Heading1"/>
      </w:pPr>
      <w:r>
        <w:t>15. Fora do MVP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Centro de distribuição e estoque próprio.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Coleta diária nas propriedades rurais.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Contratos diretos com transportadoras.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Conta Melhor Envio individual por 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Otimização automática de rotas e consolidação regional.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Logística reversa totalmente automatizada.</w:t>
      </w:r>
    </w:p>
    <w:p>
      <w:pPr>
        <w:pStyle w:val="Heading1"/>
      </w:pPr>
      <w:r>
        <w:t>16. Critérios de aceite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Um pedido pago gera corretamente um subpedido por 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cotação utiliza o CEP real do produtor e as dimensões da embalagem selecionada.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comprador não consegue escolher serviço incompatível com o produtor.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A etiqueta é comprada, gerada e disponibilizada sem acesso do produtor ao Melhor Envio.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evento order.posted altera o subpedido para POSTED e torna o repasse elegível.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Eventos duplicados não geram alterações ou repasses duplicados.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O comprador acompanha separadamente os envios de cada produtor.</w:t>
      </w:r>
    </w:p>
    <w:p>
      <w:pPr>
        <w:pStyle w:val="Heading1"/>
      </w:pPr>
      <w:r>
        <w:t>17. Validações operacionais antes do lançamento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Testar uma postagem real saindo de Caratinga com a etiqueta gerada pela integração.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Confirmar serviços aceitos no ponto de postagem escolhido.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Medir e pesar as três primeiras embalagens reais.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Testar impressão de etiqueta e documento em um ponto de apoio.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Confirmar tempo médio entre postagem física e recebimento de order.posted.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sz w:val="18"/>
        </w:rPr>
        <w:t>Manter saldo mínimo na carteira do Melhor Envio para não bloquear novos envios.</w:t>
      </w:r>
    </w:p>
    <w:p>
      <w:pPr>
        <w:pStyle w:val="Heading1"/>
      </w:pPr>
      <w:r>
        <w:t>Referências oficiais</w:t>
      </w:r>
    </w:p>
    <w:p>
      <w:r>
        <w:rPr>
          <w:rFonts w:ascii="Liberation Sans" w:hAnsi="Liberation Sans" w:eastAsia="Liberation Sans"/>
          <w:i/>
          <w:color w:val="5D6460"/>
          <w:sz w:val="17"/>
        </w:rPr>
        <w:t>Fontes consultadas em 5 de agosto de 2026. Taxas, limites e campos de API devem ser validados novamente antes da entrada em produção.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[ME1] Introdução à API do Melhor Envio. </w:t>
      </w:r>
      <w:r>
        <w:rPr>
          <w:rFonts w:ascii="Liberation Sans" w:hAnsi="Liberation Sans" w:eastAsia="Liberation Sans"/>
          <w:color w:val="3F6B55"/>
          <w:sz w:val="16"/>
        </w:rPr>
        <w:t>https://docs.melhorenvio.com.br/reference/introducao-api-melhor-envio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[ME2] Cotação de fretes. </w:t>
      </w:r>
      <w:r>
        <w:rPr>
          <w:rFonts w:ascii="Liberation Sans" w:hAnsi="Liberation Sans" w:eastAsia="Liberation Sans"/>
          <w:color w:val="3F6B55"/>
          <w:sz w:val="16"/>
        </w:rPr>
        <w:t>https://docs.melhorenvio.com.br/docs/cotacao-de-fretes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[ME3] Inserir fretes no carrinho. </w:t>
      </w:r>
      <w:r>
        <w:rPr>
          <w:rFonts w:ascii="Liberation Sans" w:hAnsi="Liberation Sans" w:eastAsia="Liberation Sans"/>
          <w:color w:val="3F6B55"/>
          <w:sz w:val="16"/>
        </w:rPr>
        <w:t>https://docs.melhorenvio.com.br/reference/inserir-fretes-no-carrinho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[ME4] Compra e pagamento de etiquetas. </w:t>
      </w:r>
      <w:r>
        <w:rPr>
          <w:rFonts w:ascii="Liberation Sans" w:hAnsi="Liberation Sans" w:eastAsia="Liberation Sans"/>
          <w:color w:val="3F6B55"/>
          <w:sz w:val="16"/>
        </w:rPr>
        <w:t>https://docs.melhorenvio.com.br/reference/compra-de-fretes-1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[ME5] Webhooks e eventos de etiqueta. </w:t>
      </w:r>
      <w:r>
        <w:rPr>
          <w:rFonts w:ascii="Liberation Sans" w:hAnsi="Liberation Sans" w:eastAsia="Liberation Sans"/>
          <w:color w:val="3F6B55"/>
          <w:sz w:val="16"/>
        </w:rPr>
        <w:t>https://docs.melhorenvio.com.br/docs/webhooks</w:t>
      </w:r>
    </w:p>
    <w:p>
      <w:pPr>
        <w:ind w:left="216" w:hanging="216"/>
      </w:pPr>
      <w:r>
        <w:rPr>
          <w:rFonts w:ascii="Liberation Sans" w:hAnsi="Liberation Sans" w:eastAsia="Liberation Sans"/>
          <w:b/>
          <w:sz w:val="16"/>
        </w:rPr>
        <w:t xml:space="preserve">[ME6] Conceitos de geração e impressão. </w:t>
      </w:r>
      <w:r>
        <w:rPr>
          <w:rFonts w:ascii="Liberation Sans" w:hAnsi="Liberation Sans" w:eastAsia="Liberation Sans"/>
          <w:color w:val="3F6B55"/>
          <w:sz w:val="16"/>
        </w:rPr>
        <w:t>https://docs.melhorenvio.com.br/docs/conceitos-gerais-do-melhor-envio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Liberation Sans" w:hAnsi="Liberation Sans" w:eastAsia="Liberation Sans"/>
        <w:color w:val="5D6460"/>
        <w:sz w:val="15"/>
      </w:rPr>
      <w:t>Documento interno • Versão 1.0 • 5 de agosto de 2026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3F6B55"/>
        <w:sz w:val="16"/>
      </w:rPr>
      <w:t>GRÃO E ORIGEM  |  Frete e Logística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Liberation Sans" w:hAnsi="Liberation Sans" w:eastAsia="Liberation Sans"/>
      <w:color w:val="1C21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4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7A513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F6B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2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244A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Box">
    <w:name w:val="Decision Box"/>
    <w:pPr>
      <w:spacing w:after="0"/>
    </w:pPr>
    <w:rPr>
      <w:rFonts w:ascii="Liberation Sans" w:hAnsi="Liberation Sans" w:eastAsia="Liberation Sans"/>
      <w:b/>
      <w:color w:val="244A3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