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7A5131"/>
          <w:sz w:val="24"/>
        </w:rPr>
        <w:t>GRÃO E ORIGEM</w:t>
      </w:r>
    </w:p>
    <w:p>
      <w:pPr>
        <w:spacing w:before="840"/>
        <w:jc w:val="center"/>
      </w:pPr>
      <w:r>
        <w:rPr>
          <w:rFonts w:ascii="Liberation Sans" w:hAnsi="Liberation Sans" w:eastAsia="Liberation Sans"/>
          <w:b/>
          <w:color w:val="244A3A"/>
          <w:sz w:val="52"/>
        </w:rPr>
        <w:t>Especificação de Pagamentos e Repasses</w:t>
      </w:r>
    </w:p>
    <w:p>
      <w:pPr>
        <w:spacing w:before="160"/>
        <w:jc w:val="center"/>
      </w:pPr>
      <w:r>
        <w:rPr>
          <w:rFonts w:ascii="Liberation Sans" w:hAnsi="Liberation Sans" w:eastAsia="Liberation Sans"/>
          <w:color w:val="7A5131"/>
          <w:sz w:val="26"/>
        </w:rPr>
        <w:t>Asaas como API de cobrança, recebimento central e repasse por Pix</w:t>
      </w:r>
    </w:p>
    <w:p>
      <w:pPr>
        <w:spacing w:before="840"/>
        <w:jc w:val="center"/>
      </w:pPr>
      <w:r>
        <w:rPr>
          <w:rFonts w:ascii="Liberation Sans" w:hAnsi="Liberation Sans" w:eastAsia="Liberation Sans"/>
          <w:color w:val="5D6460"/>
          <w:sz w:val="20"/>
        </w:rPr>
        <w:t>Versão 1.0</w:t>
        <w:br/>
        <w:t>5 de agosto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F4EFE6"/>
            <w:tcBorders>
              <w:top w:val="single" w:sz="8" w:color="7A5131"/>
              <w:left w:val="single" w:sz="8" w:color="7A5131"/>
              <w:bottom w:val="single" w:sz="8" w:color="7A5131"/>
              <w:right w:val="single" w:sz="8" w:color="7A5131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244A3A"/>
                <w:sz w:val="21"/>
              </w:rPr>
              <w:t>ESPECIFICAÇÃO PARA IMPLEMENTAÇÃO DO MVP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Status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Aprovado para implementação do MVP</w:t>
            </w:r>
          </w:p>
        </w:tc>
      </w:tr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API de pagamento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Asaas</w:t>
            </w:r>
          </w:p>
        </w:tc>
      </w:tr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Titular da conta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Grão e Origem</w:t>
            </w:r>
          </w:p>
        </w:tc>
      </w:tr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Split automático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Não utilizar</w:t>
            </w:r>
          </w:p>
        </w:tc>
      </w:tr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Escrow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Não utilizar</w:t>
            </w:r>
          </w:p>
        </w:tc>
      </w:tr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Subconta do produtor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Não exigir</w:t>
            </w:r>
          </w:p>
        </w:tc>
      </w:tr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Repasse ao produtor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Pix para qualquer instituição, após postagem confirmada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244A3A"/>
            <w:tcBorders>
              <w:top w:val="single" w:sz="5" w:color="244A3A"/>
              <w:left w:val="single" w:sz="5" w:color="244A3A"/>
              <w:bottom w:val="single" w:sz="5" w:color="244A3A"/>
              <w:right w:val="single" w:sz="5" w:color="244A3A"/>
            </w:tcBorders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20"/>
              </w:rPr>
              <w:t>DECISÃO FECHADA</w:t>
            </w:r>
          </w:p>
        </w:tc>
      </w:tr>
      <w:tr>
        <w:tc>
          <w:tcPr>
            <w:tcW w:type="dxa" w:w="9936"/>
            <w:shd w:fill="EEF3EF"/>
            <w:tcBorders>
              <w:top w:val="single" w:sz="5" w:color="244A3A"/>
              <w:left w:val="single" w:sz="5" w:color="244A3A"/>
              <w:bottom w:val="single" w:sz="5" w:color="244A3A"/>
              <w:right w:val="single" w:sz="5" w:color="244A3A"/>
            </w:tcBorders>
          </w:tcPr>
          <w:p>
            <w:r>
              <w:rPr>
                <w:rFonts w:ascii="Liberation Sans" w:hAnsi="Liberation Sans" w:eastAsia="Liberation Sans"/>
                <w:color w:val="1C211E"/>
                <w:sz w:val="18"/>
              </w:rPr>
              <w:t>A Grão e Origem criará cobranças no Asaas em sua própria conta, receberá o valor integral da compra, fará a separação financeira em um livro razão interno e repassará ao produtor por Pix somente após o Melhor Envio confirmar a postagem. O produtor não precisará abrir conta no Asaas nem em banco indicado pela plataforma.</w:t>
            </w:r>
          </w:p>
        </w:tc>
      </w:tr>
    </w:tbl>
    <w:p/>
    <w:p>
      <w:pPr>
        <w:pStyle w:val="Heading1"/>
      </w:pPr>
      <w:r>
        <w:t>1. Objetivo</w:t>
      </w:r>
    </w:p>
    <w:p>
      <w:r>
        <w:t>Definir o fluxo de recebimento do comprador, reserva do frete, cálculo da comissão, liberação do produtor e conciliação financeira. O modelo prioriza velocidade de implantação e controle operacional, mantendo a possibilidade de automatização ou migração futura.</w:t>
      </w:r>
    </w:p>
    <w:p>
      <w:pPr>
        <w:pStyle w:val="Heading1"/>
      </w:pPr>
      <w:r>
        <w:t>2. Decisão e justificativa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tblHeader w:val="true"/>
        </w:trPr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Justificativa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Asaas para cobrança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Disponibiliza API para Pix e cartão, webhooks, estornos e transferências externas.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Conta única da Grão e Origem</w:t>
            </w:r>
          </w:p>
        </w:tc>
        <w:tc>
          <w:tcPr>
            <w:tcW w:type="dxa" w:w="662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Reduz o onboarding do produtor e mantém o controle da liberação.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Sem split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O split liberaria valores automaticamente e exigiria conta Asaas dos recebedores.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Sem escrow</w:t>
            </w:r>
          </w:p>
        </w:tc>
        <w:tc>
          <w:tcPr>
            <w:tcW w:type="dxa" w:w="662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A plataforma prefere controlar os recursos em sua própria conta operacional.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Repasse por Pix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O produtor recebe na conta que já utiliza, sem vínculo bancário obrigatório.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Operação manual inicialmente</w:t>
            </w:r>
          </w:p>
        </w:tc>
        <w:tc>
          <w:tcPr>
            <w:tcW w:type="dxa" w:w="662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Permite lançar com poucos produtores e validar os controles antes da automação.</w:t>
            </w:r>
          </w:p>
        </w:tc>
      </w:tr>
    </w:tbl>
    <w:p/>
    <w:p>
      <w:pPr>
        <w:pStyle w:val="Heading1"/>
      </w:pPr>
      <w:r>
        <w:t>3. Escopo do MVP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Recebimento por Pix e cartão de crédito.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Uma cobrança total por pedido, mesmo quando houver vários produtores.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Sem boleto no lançamento, para reduzir conciliação e reembolso operacional.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Repasse individual por subpedido/produtor.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Liberação do repasse apenas após order.posted do Melhor Envio.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Pix manual no início; automação por API disponível como evolução.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Controle interno separado de produtos, fretes, comissão, taxas e saldo devido ao produtor.</w:t>
      </w:r>
    </w:p>
    <w:p>
      <w:pPr>
        <w:pStyle w:val="Heading1"/>
      </w:pPr>
      <w:r>
        <w:t>4. Estrutura das contas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768"/>
      </w:tblGrid>
      <w:tr>
        <w:trPr>
          <w:tblHeader w:val="true"/>
        </w:trPr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Modelo adotado</w:t>
            </w:r>
          </w:p>
        </w:tc>
      </w:tr>
      <w:tr>
        <w:tc>
          <w:tcPr>
            <w:tcW w:type="dxa" w:w="2736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Conta Asaas</w:t>
            </w:r>
          </w:p>
        </w:tc>
        <w:tc>
          <w:tcPr>
            <w:tcW w:type="dxa" w:w="6768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Uma conta PJ em nome da Grão e Origem, responsável pelas cobranças.</w:t>
            </w:r>
          </w:p>
        </w:tc>
      </w:tr>
      <w:tr>
        <w:tc>
          <w:tcPr>
            <w:tcW w:type="dxa" w:w="2736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Conta bancária principal</w:t>
            </w:r>
          </w:p>
        </w:tc>
        <w:tc>
          <w:tcPr>
            <w:tcW w:type="dxa" w:w="6768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Pode ser Sicoob, Inter, C6 ou outra conta PJ; não é requisito para iniciar a integração.</w:t>
            </w:r>
          </w:p>
        </w:tc>
      </w:tr>
      <w:tr>
        <w:tc>
          <w:tcPr>
            <w:tcW w:type="dxa" w:w="2736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Conta do produtor</w:t>
            </w:r>
          </w:p>
        </w:tc>
        <w:tc>
          <w:tcPr>
            <w:tcW w:type="dxa" w:w="6768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Qualquer conta capaz de receber Pix, preferencialmente com titularidade compatível com o cadastro.</w:t>
            </w:r>
          </w:p>
        </w:tc>
      </w:tr>
      <w:tr>
        <w:tc>
          <w:tcPr>
            <w:tcW w:type="dxa" w:w="2736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Carteira Melhor Envio</w:t>
            </w:r>
          </w:p>
        </w:tc>
        <w:tc>
          <w:tcPr>
            <w:tcW w:type="dxa" w:w="6768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Saldo operacional separado para compra das etiquetas.</w:t>
            </w:r>
          </w:p>
        </w:tc>
      </w:tr>
    </w:tbl>
    <w:p/>
    <w:p>
      <w:r>
        <w:t>A conta bancária tradicional poderá ser escolhida por custo, relacionamento e crédito. Ela não deve bloquear o lançamento: no MVP, o saldo recebido no Asaas pode ser usado para transferências Pix e também pode ser movimentado para a conta PJ da empresa.</w:t>
      </w:r>
    </w:p>
    <w:p>
      <w:pPr>
        <w:pStyle w:val="Heading1"/>
      </w:pPr>
      <w:r>
        <w:t>5. Fluxo financeiro ponta a ponta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1.  O backend calcula o total dos produtos e o frete de cada produtor.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2.  O sistema cria ou reutiliza o cadastro do comprador no Asaas.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3.  O sistema cria uma cobrança única via POST /v3/payments, sem campo de split [AS1].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4.  O comprador paga por Pix ou cartão.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5.  O Asaas envia eventos de webhook sobre confirmação, recebimento, estorno e chargeback [AS2].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6.  A aplicação registra o valor bruto, a taxa, o valor líquido e as obrigações por produtor.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7.  A Grão e Origem compra as etiquetas do Melhor Envio usando sua carteira logística.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8.  Cada produtor prepara e posta seu pacote.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9.  O evento order.posted torna o respectivo subpedido elegível para repasse.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10.  Um administrador confere valor, postagem e dados Pix e efetua a transferência.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11.  O comprovante e o ID da transferência são vinculados ao subpedido.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4"/>
            <w:tcBorders>
              <w:top w:val="single" w:sz="4" w:color="C9CFCC"/>
              <w:left w:val="single" w:sz="4" w:color="C9CFCC"/>
              <w:bottom w:val="single" w:sz="4" w:color="C9CFCC"/>
              <w:right w:val="single" w:sz="4" w:color="C9CFCC"/>
            </w:tcBorders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2F3732"/>
                <w:sz w:val="16"/>
              </w:rPr>
              <w:t>Comprador paga R$ 188,00</w:t>
              <w:br/>
              <w:t xml:space="preserve">  ├─ Produtos: R$ 150,00</w:t>
              <w:br/>
              <w:t xml:space="preserve">  │    ├─ Produtor A: valor devido calculado internamente</w:t>
              <w:br/>
              <w:t xml:space="preserve">  │    └─ Produtor B: valor devido calculado internamente</w:t>
              <w:br/>
              <w:t xml:space="preserve">  ├─ Fretes: R$ 38,00 → reserva logística da Grão e Origem</w:t>
              <w:br/>
              <w:t xml:space="preserve">  ├─ Taxa Asaas: registrada pelo valor real</w:t>
              <w:br/>
              <w:t xml:space="preserve">  └─ Comissão: receita da Grão e Origem conforme regra comercial</w:t>
            </w:r>
          </w:p>
        </w:tc>
      </w:tr>
    </w:tbl>
    <w:p/>
    <w:p>
      <w:pPr>
        <w:pStyle w:val="Heading1"/>
      </w:pPr>
      <w:r>
        <w:t>6. Regra de aprovação e disponibilidade do dinheiro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244A3A"/>
            <w:tcBorders>
              <w:top w:val="single" w:sz="5" w:color="244A3A"/>
              <w:left w:val="single" w:sz="5" w:color="244A3A"/>
              <w:bottom w:val="single" w:sz="5" w:color="244A3A"/>
              <w:right w:val="single" w:sz="5" w:color="244A3A"/>
            </w:tcBorders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20"/>
              </w:rPr>
              <w:t>PONTO CRÍTICO DO CARTÃO</w:t>
            </w:r>
          </w:p>
        </w:tc>
      </w:tr>
      <w:tr>
        <w:tc>
          <w:tcPr>
            <w:tcW w:type="dxa" w:w="9936"/>
            <w:shd w:fill="F7E7C6"/>
            <w:tcBorders>
              <w:top w:val="single" w:sz="5" w:color="244A3A"/>
              <w:left w:val="single" w:sz="5" w:color="244A3A"/>
              <w:bottom w:val="single" w:sz="5" w:color="244A3A"/>
              <w:right w:val="single" w:sz="5" w:color="244A3A"/>
            </w:tcBorders>
          </w:tcPr>
          <w:p>
            <w:r>
              <w:rPr>
                <w:rFonts w:ascii="Liberation Sans" w:hAnsi="Liberation Sans" w:eastAsia="Liberation Sans"/>
                <w:color w:val="1C211E"/>
                <w:sz w:val="18"/>
              </w:rPr>
              <w:t>No Asaas, PAYMENT_CONFIRMED significa que o pagamento foi confirmado, mas o saldo ainda pode não estar disponível; PAYMENT_RECEIVED indica saldo disponível na conta. A plataforma pode autorizar a preparação após confirmação, mas só pode transferir dinheiro que esteja disponível [AS2].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456"/>
        <w:gridCol w:w="4536"/>
      </w:tblGrid>
      <w:tr>
        <w:trPr>
          <w:tblHeader w:val="true"/>
        </w:trPr>
        <w:tc>
          <w:tcPr>
            <w:tcW w:type="dxa" w:w="3312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Meio</w:t>
            </w:r>
          </w:p>
        </w:tc>
        <w:tc>
          <w:tcPr>
            <w:tcW w:type="dxa" w:w="3312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Preparação do pedido</w:t>
            </w:r>
          </w:p>
        </w:tc>
        <w:tc>
          <w:tcPr>
            <w:tcW w:type="dxa" w:w="3312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Repasse após postagem</w:t>
            </w:r>
          </w:p>
        </w:tc>
      </w:tr>
      <w:tr>
        <w:tc>
          <w:tcPr>
            <w:tcW w:type="dxa" w:w="15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Pix</w:t>
            </w:r>
          </w:p>
        </w:tc>
        <w:tc>
          <w:tcPr>
            <w:tcW w:type="dxa" w:w="3456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Após PAYMENT_RECEIVED.</w:t>
            </w:r>
          </w:p>
        </w:tc>
        <w:tc>
          <w:tcPr>
            <w:tcW w:type="dxa" w:w="4536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Normalmente pode ocorrer logo após order.posted, pois o saldo tende a estar disponível.</w:t>
            </w:r>
          </w:p>
        </w:tc>
      </w:tr>
      <w:tr>
        <w:tc>
          <w:tcPr>
            <w:tcW w:type="dxa" w:w="15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Cartão</w:t>
            </w:r>
          </w:p>
        </w:tc>
        <w:tc>
          <w:tcPr>
            <w:tcW w:type="dxa" w:w="3456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Após PAYMENT_CONFIRMED ou PAYMENT_RECEIVED, conforme política de risco.</w:t>
            </w:r>
          </w:p>
        </w:tc>
        <w:tc>
          <w:tcPr>
            <w:tcW w:type="dxa" w:w="4536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Após order.posted e disponibilidade de saldo. Para pagar antes da liquidação, a Grão e Origem precisa usar capital de giro ou antecipação.</w:t>
            </w:r>
          </w:p>
        </w:tc>
      </w:tr>
    </w:tbl>
    <w:p/>
    <w:p>
      <w:r>
        <w:t>Regra recomendada do MVP: o subpedido fica elegível quando POSTED; a transferência é executada quando houver saldo disponível. Para manter promessa de pagamento rápido no cartão, deve existir uma reserva de capital de giro.</w:t>
      </w:r>
    </w:p>
    <w:p>
      <w:pPr>
        <w:pStyle w:val="Heading1"/>
      </w:pPr>
      <w:r>
        <w:t>7. Livro razão interno</w:t>
      </w:r>
    </w:p>
    <w:p>
      <w:r>
        <w:t>Receber tudo em uma conta não significa tratar tudo como receita disponível. O backend deve manter registros financeiros imutáveis por pedido e subpedido.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tblHeader w:val="true"/>
        </w:trPr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Lançamento</w:t>
            </w:r>
          </w:p>
        </w:tc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Natureza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CUSTOMER_PAYMENT_GROSS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Valor total pago pelo comprador.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PAYMENT_PROCESSOR_FEE</w:t>
            </w:r>
          </w:p>
        </w:tc>
        <w:tc>
          <w:tcPr>
            <w:tcW w:type="dxa" w:w="662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Tarifa efetivamente cobrada pelo Asaas.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PRODUCT_GROSS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Valor bruto dos produtos de cada produtor.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SELLER_PAYABLE</w:t>
            </w:r>
          </w:p>
        </w:tc>
        <w:tc>
          <w:tcPr>
            <w:tcW w:type="dxa" w:w="662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Obrigação da Grão e Origem com o produtor.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PLATFORM_COMMISSION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Receita de comissão da plataforma.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SHIPPING_COLLECTED</w:t>
            </w:r>
          </w:p>
        </w:tc>
        <w:tc>
          <w:tcPr>
            <w:tcW w:type="dxa" w:w="662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Frete cobrado do comprador.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SHIPPING_PURCHASED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Custo da etiqueta no Melhor Envio.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SHIPPING_VARIANCE</w:t>
            </w:r>
          </w:p>
        </w:tc>
        <w:tc>
          <w:tcPr>
            <w:tcW w:type="dxa" w:w="662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Diferença entre frete cobrado e custo final.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SELLER_PAYOUT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Pix efetivamente pago ao produtor.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REFUND / CHARGEBACK</w:t>
            </w:r>
          </w:p>
        </w:tc>
        <w:tc>
          <w:tcPr>
            <w:tcW w:type="dxa" w:w="662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Valor devolvido ou contestado.</w:t>
            </w:r>
          </w:p>
        </w:tc>
      </w:tr>
    </w:tbl>
    <w:p/>
    <w:p>
      <w:r>
        <w:br w:type="page"/>
      </w:r>
    </w:p>
    <w:p>
      <w:pPr>
        <w:pStyle w:val="Heading1"/>
      </w:pPr>
      <w:r>
        <w:t>8. Cálculo do valor devido ao produtor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4"/>
            <w:tcBorders>
              <w:top w:val="single" w:sz="4" w:color="C9CFCC"/>
              <w:left w:val="single" w:sz="4" w:color="C9CFCC"/>
              <w:bottom w:val="single" w:sz="4" w:color="C9CFCC"/>
              <w:right w:val="single" w:sz="4" w:color="C9CFCC"/>
            </w:tcBorders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2F3732"/>
                <w:sz w:val="16"/>
              </w:rPr>
              <w:t>seller_payable = product_subtotal</w:t>
              <w:br/>
              <w:t xml:space="preserve">                 - platform_commission</w:t>
              <w:br/>
              <w:t xml:space="preserve">                 - seller_discounts_if_applicable</w:t>
              <w:br/>
              <w:t xml:space="preserve">                 - seller_chargeback_or_adjustment_if_contractually_allowed</w:t>
              <w:br/>
              <w:br/>
              <w:t>shipping_amount não é repassado ao produtor no modelo inicial;</w:t>
              <w:br/>
              <w:t>ele permanece com a Grão e Origem para pagar a etiqueta.</w:t>
            </w:r>
          </w:p>
        </w:tc>
      </w:tr>
    </w:tbl>
    <w:p/>
    <w:p>
      <w:r>
        <w:t>A taxa do meio de pagamento deve ter uma regra comercial explícita: absorvida pela comissão, rateada proporcionalmente ou incorporada ao preço. Para o MVP, recomenda-se absorvê-la na margem da plataforma e medir o impacto real antes de alterar a proposta ao produtor.</w:t>
      </w:r>
    </w:p>
    <w:p>
      <w:pPr>
        <w:pStyle w:val="Heading1"/>
      </w:pPr>
      <w:r>
        <w:t>9. Estados do pagamento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4320"/>
      </w:tblGrid>
      <w:tr>
        <w:trPr>
          <w:tblHeader w:val="true"/>
        </w:trPr>
        <w:tc>
          <w:tcPr>
            <w:tcW w:type="dxa" w:w="3312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Estado interno</w:t>
            </w:r>
          </w:p>
        </w:tc>
        <w:tc>
          <w:tcPr>
            <w:tcW w:type="dxa" w:w="3312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Evento/ação</w:t>
            </w:r>
          </w:p>
        </w:tc>
        <w:tc>
          <w:tcPr>
            <w:tcW w:type="dxa" w:w="3312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Comportamento</w:t>
            </w:r>
          </w:p>
        </w:tc>
      </w:tr>
      <w:tr>
        <w:tc>
          <w:tcPr>
            <w:tcW w:type="dxa" w:w="2088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PENDING</w:t>
            </w:r>
          </w:p>
        </w:tc>
        <w:tc>
          <w:tcPr>
            <w:tcW w:type="dxa" w:w="3096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Cobrança criada</w:t>
            </w:r>
          </w:p>
        </w:tc>
        <w:tc>
          <w:tcPr>
            <w:tcW w:type="dxa" w:w="432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Não preparar nem emitir etiqueta.</w:t>
            </w:r>
          </w:p>
        </w:tc>
      </w:tr>
      <w:tr>
        <w:tc>
          <w:tcPr>
            <w:tcW w:type="dxa" w:w="2088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RISK_ANALYSIS</w:t>
            </w:r>
          </w:p>
        </w:tc>
        <w:tc>
          <w:tcPr>
            <w:tcW w:type="dxa" w:w="3096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PAYMENT_AWAITING_RISK_ANALYSIS</w:t>
            </w:r>
          </w:p>
        </w:tc>
        <w:tc>
          <w:tcPr>
            <w:tcW w:type="dxa" w:w="432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Aguardar decisão do Asaas.</w:t>
            </w:r>
          </w:p>
        </w:tc>
      </w:tr>
      <w:tr>
        <w:tc>
          <w:tcPr>
            <w:tcW w:type="dxa" w:w="2088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CONFIRMED</w:t>
            </w:r>
          </w:p>
        </w:tc>
        <w:tc>
          <w:tcPr>
            <w:tcW w:type="dxa" w:w="3096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PAYMENT_CONFIRMED</w:t>
            </w:r>
          </w:p>
        </w:tc>
        <w:tc>
          <w:tcPr>
            <w:tcW w:type="dxa" w:w="432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Pagamento aprovado; saldo pode não estar disponível.</w:t>
            </w:r>
          </w:p>
        </w:tc>
      </w:tr>
      <w:tr>
        <w:tc>
          <w:tcPr>
            <w:tcW w:type="dxa" w:w="2088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RECEIVED</w:t>
            </w:r>
          </w:p>
        </w:tc>
        <w:tc>
          <w:tcPr>
            <w:tcW w:type="dxa" w:w="3096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PAYMENT_RECEIVED</w:t>
            </w:r>
          </w:p>
        </w:tc>
        <w:tc>
          <w:tcPr>
            <w:tcW w:type="dxa" w:w="432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Saldo disponível na conta Asaas.</w:t>
            </w:r>
          </w:p>
        </w:tc>
      </w:tr>
      <w:tr>
        <w:tc>
          <w:tcPr>
            <w:tcW w:type="dxa" w:w="2088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REFUND_IN_PROGRESS</w:t>
            </w:r>
          </w:p>
        </w:tc>
        <w:tc>
          <w:tcPr>
            <w:tcW w:type="dxa" w:w="3096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Evento de estorno</w:t>
            </w:r>
          </w:p>
        </w:tc>
        <w:tc>
          <w:tcPr>
            <w:tcW w:type="dxa" w:w="432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Bloquear novos repasses.</w:t>
            </w:r>
          </w:p>
        </w:tc>
      </w:tr>
      <w:tr>
        <w:tc>
          <w:tcPr>
            <w:tcW w:type="dxa" w:w="2088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REFUNDED</w:t>
            </w:r>
          </w:p>
        </w:tc>
        <w:tc>
          <w:tcPr>
            <w:tcW w:type="dxa" w:w="3096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PAYMENT_REFUNDED</w:t>
            </w:r>
          </w:p>
        </w:tc>
        <w:tc>
          <w:tcPr>
            <w:tcW w:type="dxa" w:w="432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Atualizar razão e cancelar obrigações ainda não pagas.</w:t>
            </w:r>
          </w:p>
        </w:tc>
      </w:tr>
      <w:tr>
        <w:tc>
          <w:tcPr>
            <w:tcW w:type="dxa" w:w="2088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CHARGEBACK</w:t>
            </w:r>
          </w:p>
        </w:tc>
        <w:tc>
          <w:tcPr>
            <w:tcW w:type="dxa" w:w="3096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PAYMENT_CHARGEBACK_REQUESTED</w:t>
            </w:r>
          </w:p>
        </w:tc>
        <w:tc>
          <w:tcPr>
            <w:tcW w:type="dxa" w:w="432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Abrir ocorrência e aplicar política contratual.</w:t>
            </w:r>
          </w:p>
        </w:tc>
      </w:tr>
    </w:tbl>
    <w:p/>
    <w:p>
      <w:pPr>
        <w:pStyle w:val="Heading1"/>
      </w:pPr>
      <w:r>
        <w:t>10. Regra de liberação do produtor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produtor não libera o próprio pagamento.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botão “Postei” altera apenas o status operacional para aguardando confirmação.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 elegibilidade nasce exclusivamente com o webhook order.posted validado.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valor do repasse é congelado no momento da elegibilidade e precisa de conferência administrativa.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No MVP, a transferência exige aprovação humana.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Após pagamento, o sistema grava data, valor, destinatário, chave, ID externo e comprovante.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Uma chave de idempotência por SellerOrder impede pagamento duplicado.</w:t>
      </w:r>
    </w:p>
    <w:p>
      <w:pPr>
        <w:pStyle w:val="Heading1"/>
      </w:pPr>
      <w:r>
        <w:t>11. Repasse por Pix</w:t>
      </w:r>
    </w:p>
    <w:p>
      <w:r>
        <w:t>O produtor poderá receber em qualquer instituição. A API do Asaas permite transferir saldo para uma chave Pix externa e aceita descrição e referência externa, o que viabiliza automação posterior [AS3].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344"/>
      </w:tblGrid>
      <w:tr>
        <w:trPr>
          <w:tblHeader w:val="true"/>
        </w:trPr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Procedimento</w:t>
            </w:r>
          </w:p>
        </w:tc>
      </w:tr>
      <w:tr>
        <w:tc>
          <w:tcPr>
            <w:tcW w:type="dxa" w:w="216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MVP manual</w:t>
            </w:r>
          </w:p>
        </w:tc>
        <w:tc>
          <w:tcPr>
            <w:tcW w:type="dxa" w:w="734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Administrador realiza Pix no Asaas ou na conta PJ e registra o comprovante no painel.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MVP assistido</w:t>
            </w:r>
          </w:p>
        </w:tc>
        <w:tc>
          <w:tcPr>
            <w:tcW w:type="dxa" w:w="734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Sistema gera uma fila de pagamentos e os dados conferidos; pessoa autorizada executa.</w:t>
            </w:r>
          </w:p>
        </w:tc>
      </w:tr>
      <w:tr>
        <w:tc>
          <w:tcPr>
            <w:tcW w:type="dxa" w:w="216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Automação futura</w:t>
            </w:r>
          </w:p>
        </w:tc>
        <w:tc>
          <w:tcPr>
            <w:tcW w:type="dxa" w:w="734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POST /v3/transfers com pixAddressKey, tipo da chave, valor, description e externalReference.</w:t>
            </w:r>
          </w:p>
        </w:tc>
      </w:tr>
    </w:tbl>
    <w:p/>
    <w:p>
      <w:pPr>
        <w:pStyle w:val="Heading2"/>
      </w:pPr>
      <w:r>
        <w:t>11.1 Segurança de alteração da chave Pix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Não alterar chave somente por mensagem informal.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Exigir autenticação do produtor ou validação administrativa reforçada.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Registrar histórico da chave anterior e da nova.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Aplicar carência ou dupla aprovação para mudanças próximas de um pagamento.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Consultar a titularidade da chave quando o recurso estiver disponível e confirmar compatibilidade com o cadastro.</w:t>
      </w:r>
    </w:p>
    <w:p>
      <w:pPr>
        <w:pStyle w:val="Heading1"/>
      </w:pPr>
      <w:r>
        <w:t>12. Webhooks e idempotência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Criar webhook no Asaas para eventos de pagamento, estorno, chargeback e transferência [AS2][AS4].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Responder rapidamente ao provedor e processar o evento de maneira idempotente.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Não presumir ordem absoluta dos eventos; persistir data e estado mais recente.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Registrar payload bruto, ID do evento, cobrança, data e resultado do processamento.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Eventos repetidos não podem gerar nova etiqueta, novo pedido ou novo repasse.</w:t>
      </w:r>
    </w:p>
    <w:p>
      <w:pPr>
        <w:pStyle w:val="Heading1"/>
      </w:pPr>
      <w:r>
        <w:t>13. Estorno, cancelamento e chargeback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tblHeader w:val="true"/>
        </w:trPr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Tratamento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Antes da etiqueta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Cancelar pedido e estornar cobrança.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Etiqueta comprada, não postada</w:t>
            </w:r>
          </w:p>
        </w:tc>
        <w:tc>
          <w:tcPr>
            <w:tcW w:type="dxa" w:w="662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Cancelar etiqueta quando possível; estornar comprador; registrar custo não recuperado.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Após postagem, produtor não pago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Avaliar retorno/interceptação; manter repasse bloqueado até decisão.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Após postagem, produtor pago</w:t>
            </w:r>
          </w:p>
        </w:tc>
        <w:tc>
          <w:tcPr>
            <w:tcW w:type="dxa" w:w="662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 Grão e Origem assume risco imediato e poderá compensar valores futuros conforme contrato.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Chargeback de cartão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Abrir ocorrência, reunir comprovantes de compra, postagem e entrega e bloquear novos repasses relacionados.</w:t>
            </w:r>
          </w:p>
        </w:tc>
      </w:tr>
    </w:tbl>
    <w:p/>
    <w:p>
      <w:r>
        <w:t>A API do Asaas permite estorno de cartão e Pix, inclusive estornos parciais de Pix, desde que haja saldo suficiente [AS5].</w:t>
      </w:r>
    </w:p>
    <w:p>
      <w:pPr>
        <w:pStyle w:val="Heading1"/>
      </w:pPr>
      <w:r>
        <w:t>14. Dados e privacidade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comprador não precisa visualizar chave Pix ou dados bancários do produtor.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produtor recebe apenas as informações necessárias para preparar e enviar o pedido.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Dados bancários devem ter acesso restrito a usuários financeiros autorizados.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 descrição do Pix é apenas um complemento operacional; ela não substitui contrato, relatório, documento fiscal ou livro razão.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sistema deve produzir um demonstrativo de repasse com pedido, itens, subtotal, comissão, ajustes e valor líquido.</w:t>
      </w:r>
    </w:p>
    <w:p>
      <w:pPr>
        <w:pStyle w:val="Heading1"/>
      </w:pPr>
      <w:r>
        <w:t>15. Modelo de dados mínimo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rPr>
          <w:tblHeader w:val="true"/>
        </w:trPr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Entidade</w:t>
            </w:r>
          </w:p>
        </w:tc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Campos essenciais</w:t>
            </w:r>
          </w:p>
        </w:tc>
      </w:tr>
      <w:tr>
        <w:tc>
          <w:tcPr>
            <w:tcW w:type="dxa" w:w="259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Payment</w:t>
            </w:r>
          </w:p>
        </w:tc>
        <w:tc>
          <w:tcPr>
            <w:tcW w:type="dxa" w:w="69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orderId, providerPaymentId, billingType, grossValue, netValue, feeValue, status, confirmedAt, receivedAt.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SellerPayable</w:t>
            </w:r>
          </w:p>
        </w:tc>
        <w:tc>
          <w:tcPr>
            <w:tcW w:type="dxa" w:w="69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sellerOrderId, producerId, productSubtotal, commission, adjustments, payableValue, eligibleAt, paidAt.</w:t>
            </w:r>
          </w:p>
        </w:tc>
      </w:tr>
      <w:tr>
        <w:tc>
          <w:tcPr>
            <w:tcW w:type="dxa" w:w="259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Payout</w:t>
            </w:r>
          </w:p>
        </w:tc>
        <w:tc>
          <w:tcPr>
            <w:tcW w:type="dxa" w:w="69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sellerPayableId, amount, pixKeyMasked, recipientDocument, providerTransferId, status, proofUrl, externalReference.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LedgerEntry</w:t>
            </w:r>
          </w:p>
        </w:tc>
        <w:tc>
          <w:tcPr>
            <w:tcW w:type="dxa" w:w="69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orderId, sellerOrderId, type, debit, credit, currency, createdAt, reference.</w:t>
            </w:r>
          </w:p>
        </w:tc>
      </w:tr>
      <w:tr>
        <w:tc>
          <w:tcPr>
            <w:tcW w:type="dxa" w:w="259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PaymentWebhookEvent</w:t>
            </w:r>
          </w:p>
        </w:tc>
        <w:tc>
          <w:tcPr>
            <w:tcW w:type="dxa" w:w="69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eventId, eventType, paymentId, receivedAt, processedAt, payloadHash.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ProducerPaymentProfile</w:t>
            </w:r>
          </w:p>
        </w:tc>
        <w:tc>
          <w:tcPr>
            <w:tcW w:type="dxa" w:w="69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producerId, pixKeyEncrypted, keyType, holderName, holderDocument, verifiedAt, active.</w:t>
            </w:r>
          </w:p>
        </w:tc>
      </w:tr>
    </w:tbl>
    <w:p/>
    <w:p>
      <w:pPr>
        <w:pStyle w:val="Heading1"/>
      </w:pPr>
      <w:r>
        <w:t>16. Interfaces internas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4"/>
            <w:tcBorders>
              <w:top w:val="single" w:sz="4" w:color="C9CFCC"/>
              <w:left w:val="single" w:sz="4" w:color="C9CFCC"/>
              <w:bottom w:val="single" w:sz="4" w:color="C9CFCC"/>
              <w:right w:val="single" w:sz="4" w:color="C9CFCC"/>
            </w:tcBorders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2F3732"/>
                <w:sz w:val="16"/>
              </w:rPr>
              <w:t>PaymentProvider</w:t>
              <w:br/>
              <w:t xml:space="preserve">  createCustomer(customer)</w:t>
              <w:br/>
              <w:t xml:space="preserve">  createPayment(order, method)</w:t>
              <w:br/>
              <w:t xml:space="preserve">  getPayment(paymentId)</w:t>
              <w:br/>
              <w:t xml:space="preserve">  refundPayment(paymentId, amount)</w:t>
              <w:br/>
              <w:t xml:space="preserve">  validateWebhook(headers, body)</w:t>
              <w:br/>
              <w:br/>
              <w:t>PayoutProvider</w:t>
              <w:br/>
              <w:t xml:space="preserve">  getAvailableBalance()</w:t>
              <w:br/>
              <w:t xml:space="preserve">  transferPix(payout)</w:t>
              <w:br/>
              <w:t xml:space="preserve">  getTransfer(transferId)</w:t>
              <w:br/>
              <w:t xml:space="preserve">  cancelScheduledTransfer(transferId)</w:t>
            </w:r>
          </w:p>
        </w:tc>
      </w:tr>
    </w:tbl>
    <w:p/>
    <w:p>
      <w:r>
        <w:t>A primeira implementação será AsaasPaymentProvider. PayoutProvider pode iniciar como ManualPayoutProvider e depois evoluir para AsaasPayoutProvider ou para a API do banco parceiro.</w:t>
      </w:r>
    </w:p>
    <w:p>
      <w:pPr>
        <w:pStyle w:val="Heading1"/>
      </w:pPr>
      <w:r>
        <w:t>17. Tarifas e capital de giro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As taxas do Asaas variam por contrato e podem mudar; o sistema deve armazenar a tarifa efetiva retornada, não uma taxa fixa codificada.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 tabela pública consultada mostra cobrança por Pix recebido, percentuais de cartão e franquia mensal de transferências Pix; confirmar a conta antes do lançamento [AS6].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 Grão e Origem precisa de saldo para comprar etiquetas antes de receber liquidação de algumas vendas no cartão.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custo de antecipação, quando utilizado, deve ser separado da comissão e medido como custo financeiro.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Não existe “imposto por Pix”; podem existir tarifas da instituição e tributos sobre a atividade e a receita, apurados pela documentação contábil adequada.</w:t>
      </w:r>
    </w:p>
    <w:p>
      <w:pPr>
        <w:pStyle w:val="Heading1"/>
      </w:pPr>
      <w:r>
        <w:t>18. Critérios de aceite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checkout cria uma cobrança sem split ou subconta.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Pix e cartão atualizam o pedido somente por eventos válidos do Asaas.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sistema distingue PAYMENT_CONFIRMED de PAYMENT_RECEIVED.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Cada produtor possui um SellerPayable independente, mesmo em pedido multi-produtor.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Nenhum repasse é liberado antes de order.posted.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Um repasse manual pode ser registrado com comprovante e usuário responsável.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 mesma obrigação não pode ser paga duas vezes.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Estornos e chargebacks bloqueiam ou ajustam obrigações pendentes.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relatório financeiro reconcilia valor pago, taxas, frete, comissão e repasses.</w:t>
      </w:r>
    </w:p>
    <w:p>
      <w:pPr>
        <w:pStyle w:val="Heading1"/>
      </w:pPr>
      <w:r>
        <w:t>19. Sequência de implementação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1.  Abrir e aprovar a conta PJ Asaas da Grão e Origem.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2.  Criar integração no sandbox e cadastrar webhooks.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3.  Implementar cliente, cobrança Pix, cobrança com cartão e consulta de status.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4.  Implementar o livro razão e SellerPayable.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5.  Integrar o gatilho POSTED vindo do módulo de frete.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6.  Criar fila administrativa de repasses elegíveis.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7.  Implementar registro manual do Pix e comprovante.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8.  Testar estorno, webhook duplicado, pagamento recusado e chargeback.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9.  Somente depois avaliar automação de transferências e banco parceiro.</w:t>
      </w:r>
    </w:p>
    <w:p>
      <w:pPr>
        <w:pStyle w:val="Heading1"/>
      </w:pPr>
      <w:r>
        <w:t>20. Migração e evolução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Automatizar o Pix pelo endpoint de transferências do Asaas.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Migrar o PayoutProvider para Sicoob, Inter ou outro banco se houver melhor custo ou crédito.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Negociar taxas de cartão após a plataforma demonstrar volume.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Reavaliar split ou escrow somente quando o benefício superar o atrito de onboarding.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Adicionar reserva automática para chargeback e devoluções.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Definir calendário de repasses por nível de confiança do produtor.</w:t>
      </w:r>
    </w:p>
    <w:p>
      <w:pPr>
        <w:pStyle w:val="Heading1"/>
      </w:pPr>
      <w:r>
        <w:t>Referências oficiais</w:t>
      </w:r>
    </w:p>
    <w:p>
      <w:r>
        <w:rPr>
          <w:rFonts w:ascii="Liberation Sans" w:hAnsi="Liberation Sans" w:eastAsia="Liberation Sans"/>
          <w:i/>
          <w:color w:val="5D6460"/>
          <w:sz w:val="17"/>
        </w:rPr>
        <w:t>Fontes consultadas em 5 de agosto de 2026. Taxas, limites e campos de API devem ser validados novamente antes da entrada em produção.</w:t>
      </w:r>
    </w:p>
    <w:p>
      <w:pPr>
        <w:ind w:left="216" w:hanging="216"/>
      </w:pPr>
      <w:r>
        <w:rPr>
          <w:rFonts w:ascii="Liberation Sans" w:hAnsi="Liberation Sans" w:eastAsia="Liberation Sans"/>
          <w:b/>
          <w:sz w:val="16"/>
        </w:rPr>
        <w:t xml:space="preserve">[AS1] Criar nova cobrança. </w:t>
      </w:r>
      <w:r>
        <w:rPr>
          <w:rFonts w:ascii="Liberation Sans" w:hAnsi="Liberation Sans" w:eastAsia="Liberation Sans"/>
          <w:color w:val="3F6B55"/>
          <w:sz w:val="16"/>
        </w:rPr>
        <w:t>https://docs.asaas.com/reference/criar-nova-cobranca</w:t>
      </w:r>
    </w:p>
    <w:p>
      <w:pPr>
        <w:ind w:left="216" w:hanging="216"/>
      </w:pPr>
      <w:r>
        <w:rPr>
          <w:rFonts w:ascii="Liberation Sans" w:hAnsi="Liberation Sans" w:eastAsia="Liberation Sans"/>
          <w:b/>
          <w:sz w:val="16"/>
        </w:rPr>
        <w:t xml:space="preserve">[AS2] Eventos de webhook para cobranças. </w:t>
      </w:r>
      <w:r>
        <w:rPr>
          <w:rFonts w:ascii="Liberation Sans" w:hAnsi="Liberation Sans" w:eastAsia="Liberation Sans"/>
          <w:color w:val="3F6B55"/>
          <w:sz w:val="16"/>
        </w:rPr>
        <w:t>https://docs.asaas.com/docs/webhook-para-cobrancas</w:t>
      </w:r>
    </w:p>
    <w:p>
      <w:pPr>
        <w:ind w:left="216" w:hanging="216"/>
      </w:pPr>
      <w:r>
        <w:rPr>
          <w:rFonts w:ascii="Liberation Sans" w:hAnsi="Liberation Sans" w:eastAsia="Liberation Sans"/>
          <w:b/>
          <w:sz w:val="16"/>
        </w:rPr>
        <w:t xml:space="preserve">[AS3] Transferir para conta externa ou chave Pix. </w:t>
      </w:r>
      <w:r>
        <w:rPr>
          <w:rFonts w:ascii="Liberation Sans" w:hAnsi="Liberation Sans" w:eastAsia="Liberation Sans"/>
          <w:color w:val="3F6B55"/>
          <w:sz w:val="16"/>
        </w:rPr>
        <w:t>https://docs.asaas.com/reference/transferir-para-conta-de-outra-instituicao-ou-chave-pix</w:t>
      </w:r>
    </w:p>
    <w:p>
      <w:pPr>
        <w:ind w:left="216" w:hanging="216"/>
      </w:pPr>
      <w:r>
        <w:rPr>
          <w:rFonts w:ascii="Liberation Sans" w:hAnsi="Liberation Sans" w:eastAsia="Liberation Sans"/>
          <w:b/>
          <w:sz w:val="16"/>
        </w:rPr>
        <w:t xml:space="preserve">[AS4] Introdução aos webhooks. </w:t>
      </w:r>
      <w:r>
        <w:rPr>
          <w:rFonts w:ascii="Liberation Sans" w:hAnsi="Liberation Sans" w:eastAsia="Liberation Sans"/>
          <w:color w:val="3F6B55"/>
          <w:sz w:val="16"/>
        </w:rPr>
        <w:t>https://docs.asaas.com/docs/sobre-os-webhooks</w:t>
      </w:r>
    </w:p>
    <w:p>
      <w:pPr>
        <w:ind w:left="216" w:hanging="216"/>
      </w:pPr>
      <w:r>
        <w:rPr>
          <w:rFonts w:ascii="Liberation Sans" w:hAnsi="Liberation Sans" w:eastAsia="Liberation Sans"/>
          <w:b/>
          <w:sz w:val="16"/>
        </w:rPr>
        <w:t xml:space="preserve">[AS5] Estornar cobrança. </w:t>
      </w:r>
      <w:r>
        <w:rPr>
          <w:rFonts w:ascii="Liberation Sans" w:hAnsi="Liberation Sans" w:eastAsia="Liberation Sans"/>
          <w:color w:val="3F6B55"/>
          <w:sz w:val="16"/>
        </w:rPr>
        <w:t>https://docs.asaas.com/reference/estornar-cobranca</w:t>
      </w:r>
    </w:p>
    <w:p>
      <w:pPr>
        <w:ind w:left="216" w:hanging="216"/>
      </w:pPr>
      <w:r>
        <w:rPr>
          <w:rFonts w:ascii="Liberation Sans" w:hAnsi="Liberation Sans" w:eastAsia="Liberation Sans"/>
          <w:b/>
          <w:sz w:val="16"/>
        </w:rPr>
        <w:t xml:space="preserve">[AS6] Preços e taxas. </w:t>
      </w:r>
      <w:r>
        <w:rPr>
          <w:rFonts w:ascii="Liberation Sans" w:hAnsi="Liberation Sans" w:eastAsia="Liberation Sans"/>
          <w:color w:val="3F6B55"/>
          <w:sz w:val="16"/>
        </w:rPr>
        <w:t>https://www.asaas.com/precos-e-taxas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Liberation Sans" w:hAnsi="Liberation Sans" w:eastAsia="Liberation Sans"/>
        <w:color w:val="5D6460"/>
        <w:sz w:val="15"/>
      </w:rPr>
      <w:t>Documento interno • Versão 1.0 • 5 de agosto de 2026</w:t>
    </w:r>
  </w:p>
  <w:p>
    <w:pPr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color w:val="3F6B55"/>
        <w:sz w:val="16"/>
      </w:rPr>
      <w:t>GRÃO E ORIGEM  |  Pagamentos e Repasses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Liberation Sans" w:hAnsi="Liberation Sans" w:eastAsia="Liberation Sans"/>
      <w:color w:val="1C21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4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7A513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F6B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12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44A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Box">
    <w:name w:val="Decision Box"/>
    <w:pPr>
      <w:spacing w:after="0"/>
    </w:pPr>
    <w:rPr>
      <w:rFonts w:ascii="Liberation Sans" w:hAnsi="Liberation Sans" w:eastAsia="Liberation Sans"/>
      <w:b/>
      <w:color w:val="244A3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