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40"/>
        </w:rPr>
        <w:t>Drogredenen - casussen bewerkbestand</w:t>
      </w:r>
    </w:p>
    <w:p>
      <w:pPr>
        <w:spacing w:after="240"/>
      </w:pPr>
      <w:r>
        <w:t>27 ingebouwde casussen uit de website. Gebruik dit bestand om teksten, labels en leerprincipes te herzien.</w:t>
      </w:r>
    </w:p>
    <w:p>
      <w:pPr>
        <w:pStyle w:val="Heading2"/>
      </w:pPr>
      <w:r>
        <w:t>C01 - Telefoonverbod en cijfers</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causaliteit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Na de invoering van een telefoonverbod steeg het gemiddelde tentamencijfer in een opleiding van 6,4 naar 6,8. De opleidingsdirecteur concludeert in een interview: het verbod heeft bewezen dat telefoons de oorzaak waren van de lagere cijfers.</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telefoonverbod heeft de hogere tentamencijfers veroorzaakt.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Na de invoering van het telefoonverbod steeg het gemiddelde cijfer van 6,4 naar 6,8.</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Er waren geen andere relevante veranderingen; het tijdsverloop is voldoende bewijs voor causaliteit.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is geen formele deductie. Het probleem zit in de causale interpretatie van een temporele samenhang.</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post hoc ergo propter hoc</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noemt soms cherry picking, maar er is vooral een causale sprong van 'daarna' naar 'daardoor'.</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verandering na een maatregel bewijst nog niet dat de maatregel de oorzaak was.</w:t>
            </w:r>
          </w:p>
        </w:tc>
      </w:tr>
    </w:tbl>
    <w:p>
      <w:pPr>
        <w:spacing w:after="80"/>
      </w:pPr>
    </w:p>
    <w:p>
      <w:pPr>
        <w:pStyle w:val="Heading2"/>
      </w:pPr>
      <w:r>
        <w:t>C02 - Expert buiten expertisegebied</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bekende natuurkundige zegt in een talkshow dat een nieuw onderwijssysteem 'zeker werkt', omdat hij als wetenschapper gewend is rationeel naar bewijs te kijken. De presentator gebruikt dit als doorslaggevend argument.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nieuwe onderwijssysteem werkt zeker.</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Een bekende natuurkundige zegt dat het werkt; hij is wetenschapper en rationeel.</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Wetenschappelijke autoriteit op het ene terrein is beslissend bewijs op een ander terrein.</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is inductief en steunt op autoriteit; de vraag is of die autoriteit relevant is.</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ad verecundiam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Niet elke verwijzing naar expertise is fout; hier ontbreekt relevante expertise over onderwijsinterventies.</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Autoriteit telt alleen als de expertise relevant, onafhankelijk en voldoende onderbouwd is.</w:t>
            </w:r>
          </w:p>
        </w:tc>
      </w:tr>
    </w:tbl>
    <w:p>
      <w:pPr>
        <w:spacing w:after="80"/>
      </w:pPr>
    </w:p>
    <w:p>
      <w:pPr>
        <w:pStyle w:val="Heading2"/>
      </w:pPr>
      <w:r>
        <w:t>C03 - Geen bewijs van fraude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bewijslast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politicus zegt: niemand heeft kunnen bewijzen dat onze campagnefinanciering onzuiver was, dus is bewezen dat alles volledig zuiver is verlopen.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campagnefinanciering is volledig zuiver verlopen.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Niemand heeft bewezen dat de financiering onzuiver was.</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Afwezigheid van tegenbewijs is positief bewijs voor de eigen conclusie.</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conclusie volgt niet uit de enkele afwezigheid van bewijs voor het tegendeel.</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argumentum ad ignorantiam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noemt vaak verschuiven van bewijslast; dat kan meespelen, maar de kern is onwetendheid als bewijs.</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Geen bewijs tegen een bewering is niet automatisch bewijs voor die bewering.</w:t>
            </w:r>
          </w:p>
        </w:tc>
      </w:tr>
    </w:tbl>
    <w:p>
      <w:pPr>
        <w:spacing w:after="80"/>
      </w:pPr>
    </w:p>
    <w:p>
      <w:pPr>
        <w:pStyle w:val="Heading2"/>
      </w:pPr>
      <w:r>
        <w:t>C04 - Vijf geinterviewde studenten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empirische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universiteitskrant interviewt vijf studenten uit dezelfde werkgroep. Alle vijf vinden online onderwijs beter. De kop luidt: studenten willen massaal online onderwijs houden.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Studenten willen massaal online onderwijs houden.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Vijf studenten uit dezelfde werkgroep zeggen dat online onderwijs beter is.</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Deze vijf studenten vormen een representatieve basis voor studenten in het algemeen.</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Het probleem zit niet in deductieve vorm, maar in de empirische basis.</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overhaaste generalisatie</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is geen ad populum; er wordt niet gezegd dat iets waar is omdat velen het vinden, maar dat een populatie iets vindt op basis van te weinig data.</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algemene conclusie vraagt om voldoende en representatief bewijs.</w:t>
            </w:r>
          </w:p>
        </w:tc>
      </w:tr>
    </w:tbl>
    <w:p>
      <w:pPr>
        <w:spacing w:after="80"/>
      </w:pPr>
    </w:p>
    <w:p>
      <w:pPr>
        <w:pStyle w:val="Heading2"/>
      </w:pPr>
      <w:r>
        <w:t>C05 - Als het regent is de straat nat</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logische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Als het regent, wordt de straat nat. De straat is nat. Dus het heeft geregend.</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heeft geregend.</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Als het regent, wordt de straat nat; de straat is nat.</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Er is maar een mogelijke oorzaak van een natte straat.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ongeldig</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vorm is: als P dan Q; Q; dus P. Dat is bevestiging van de consequens.</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bevestiging consequens</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verwart dit soms met modus ponens. Modus ponens heeft P als tweede premisse, niet Q.</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Uit een gevolg kun je niet zonder meer de specifieke oorzaak afleiden.</w:t>
            </w:r>
          </w:p>
        </w:tc>
      </w:tr>
    </w:tbl>
    <w:p>
      <w:pPr>
        <w:spacing w:after="80"/>
      </w:pPr>
    </w:p>
    <w:p>
      <w:pPr>
        <w:pStyle w:val="Heading2"/>
      </w:pPr>
      <w:r>
        <w:t>C06 - Vrijheid als woordspel</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semantische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columnist schrijft: universiteiten zeggen dat academische vrijheid belangrijk is. Maar vrijheid betekent dat niemand je mag beperken. Dus studenten moeten vrij zijn om elke deadline te negeren.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Studenten moeten vrij zijn om elke deadline te negeren.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Academische vrijheid is belangrijk; vrijheid betekent geen beperking.</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Het woord vrijheid betekent in beide contexten precies hetzelfde.</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draait op een betekenisverschuiving, niet op een zuiver formele inferentie.</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ambiguiteit</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noemt soms vals dilemma, maar het centrale probleem is dubbelzinnig gebruik van 'vrijheid'.</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Controleer of sleutelbegrippen in elke stap dezelfde betekenis houden.</w:t>
            </w:r>
          </w:p>
        </w:tc>
      </w:tr>
    </w:tbl>
    <w:p>
      <w:pPr>
        <w:spacing w:after="80"/>
      </w:pPr>
    </w:p>
    <w:p>
      <w:pPr>
        <w:pStyle w:val="Heading2"/>
      </w:pPr>
      <w:r>
        <w:t>C07 - Kritiek als extremisme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debatmanipulatie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onderzoeker stelt voor om een subsidieprogramma strenger te evalueren. Een bestuurder reageert: blijkbaar wil deze onderzoeker jonge wetenschappers hun kansen afpakken.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onderzoeker wil jonge wetenschappers kansen afpakken.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De onderzoeker wil strengere evaluatie van een subsidieprogramma.</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Strenger evalueren is hetzelfde als kansen afpakken.</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vervormt eerst het standpunt en valt daarna die vervorming aan.</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stroman</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lijkt soms ad hominem, maar de aanval loopt vooral via vervorming van het standpunt.</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Beoordeel het sterkste echte standpunt, niet een makkelijker aan te vallen versie.</w:t>
            </w:r>
          </w:p>
        </w:tc>
      </w:tr>
    </w:tbl>
    <w:p>
      <w:pPr>
        <w:spacing w:after="80"/>
      </w:pPr>
    </w:p>
    <w:p>
      <w:pPr>
        <w:pStyle w:val="Heading2"/>
      </w:pPr>
      <w:r>
        <w:t>C08 - Populaire app</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docent zegt dat een plagiaatdetectie-app betrouwbaar moet zijn, want bijna alle universiteiten gebruiken deze app inmiddels.</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plagiaatdetectie-app is betrouwbaar.</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Bijna alle universiteiten gebruiken de app.</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Breed gebruik is voldoende bewijs voor technische betrouwbaarheid.</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conclusie gaat over betrouwbaarheid; de premisse gaat over populariteit of adoptie.</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ad populum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Populariteit kan aanleiding zijn tot onderzoek, maar is geen directe validatie van betrouwbaarheid.</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Gebruik of populariteit is niet hetzelfde als waarheid, kwaliteit of betrouwbaarheid.</w:t>
            </w:r>
          </w:p>
        </w:tc>
      </w:tr>
    </w:tbl>
    <w:p>
      <w:pPr>
        <w:spacing w:after="80"/>
      </w:pPr>
    </w:p>
    <w:p>
      <w:pPr>
        <w:pStyle w:val="Heading2"/>
      </w:pPr>
      <w:r>
        <w:t>C09 - Alleen succesverhalen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empirische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beleidsnota verdedigt een honoursprogramma door uitsluitend alumni te citeren die na deelname snel carriere maakten. Uitvallers en deelnemers zonder voordeel worden niet besproken.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honoursprogramma werkt aantoonbaar goed.</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Enkele succesvolle alumni melden positieve resultaten na deelname.</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Succesgevallen zijn representatief voor alle deelnemers; ontbrekende negatieve of neutrale gevallen doen er niet toe.</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inferentie hangt af van selectief gekozen empirische ondersteuning.</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cherry picking</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Kan lijken op anekdotisch bewijs; hier is vooral relevant dat tegenvoorbeelden systematisch ontbreken.</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Sterk bewijs laat ook ongunstige, neutrale en ontbrekende gevallen zien.</w:t>
            </w:r>
          </w:p>
        </w:tc>
      </w:tr>
    </w:tbl>
    <w:p>
      <w:pPr>
        <w:spacing w:after="80"/>
      </w:pPr>
    </w:p>
    <w:p>
      <w:pPr>
        <w:pStyle w:val="Heading2"/>
      </w:pPr>
      <w:r>
        <w:t>C10 - Onderzoeker met aandelen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rapport over klimaatbeleid wordt afgewezen met de reactie: de hoofdauteur bezit aandelen in een energiebedrijf, dus de berekeningen in het rapport zijn onjuist.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berekeningen in het rapport zijn onjuist.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De hoofdauteur bezit aandelen in een energiebedrijf.</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Een mogelijk belang maakt de inhoudelijke berekeningen automatisch fout.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Een belangenconflict kan relevant zijn voor betrouwbaarheid, maar weerlegt de berekeningen niet vanzelf.</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ad hominem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Niet elk belangenconflict is irrelevant; het is wel onvoldoende als directe weerlegging van de inhoud.</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Persoonsinformatie kan aanleiding zijn tot extra controle, maar vervangt geen inhoudelijke toets.</w:t>
            </w:r>
          </w:p>
        </w:tc>
      </w:tr>
    </w:tbl>
    <w:p>
      <w:pPr>
        <w:spacing w:after="80"/>
      </w:pPr>
    </w:p>
    <w:p>
      <w:pPr>
        <w:pStyle w:val="Heading2"/>
      </w:pPr>
      <w:r>
        <w:t>C11 - Correlatie tussen koffie en publicaties</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causaliteit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faculteitsblog meldt dat promovendi die meer koffie drinken gemiddeld meer publiceren. De conclusie: koffie drinken verhoogt de wetenschappelijke productiviteit.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Koffie drinken verhoogt de wetenschappelijke productiviteit.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Promovendi die meer koffie drinken publiceren gemiddeld meer.</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De correlatie wordt niet verklaard door werkuren, stress, discipline of een derde factor.</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verwart samenhang met oorzaak.</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cum hoc ergo propter hoc</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Studenten noemen vaak post hoc; hier is vooral gelijktijdige correlatie, niet volgorde in de tijd.</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Correlatie vraagt om alternatieve verklaringen voordat je causaliteit mag aannemen.</w:t>
            </w:r>
          </w:p>
        </w:tc>
      </w:tr>
    </w:tbl>
    <w:p>
      <w:pPr>
        <w:spacing w:after="80"/>
      </w:pPr>
    </w:p>
    <w:p>
      <w:pPr>
        <w:pStyle w:val="Heading2"/>
      </w:pPr>
      <w:r>
        <w:t>C12 - Alles of censuur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logische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In een debat over platformregels zegt iemand: of we laten alle berichten staan, of we leven in censuur. Er is geen middenweg.</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Er zijn maar twee opties: alles toestaan of censuur accepteren.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Platformregels beperken sommige berichten.</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Elke vorm van moderatie is gelijk aan censuur; tussenposities zijn onmogelijk.</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ongeldig</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sluit alternatieven uit zonder argument.</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vals dilemma</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Het lijkt op hellend vlak, maar er wordt hier direct een valse tweedeling gemaakt.</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Controleer of het keuzekader alle redelijke alternatieven bevat.</w:t>
            </w:r>
          </w:p>
        </w:tc>
      </w:tr>
    </w:tbl>
    <w:p>
      <w:pPr>
        <w:spacing w:after="80"/>
      </w:pPr>
    </w:p>
    <w:p>
      <w:pPr>
        <w:pStyle w:val="Heading2"/>
      </w:pPr>
      <w:r>
        <w:t>C13 - Natuurlijke selectie en beleid</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complex</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columnist stelt dat sociale vangnetten onnatuurlijk zijn, omdat in de natuur zwakkere individuen niet beschermd worden. Daarom zijn vangnetten moreel verkeerd.</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Sociale vangnetten zijn moreel verkeerd.</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In de natuur worden zwakkere individuen niet altijd beschermd; vangnetten wijken daarvan af.</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Wat natuurlijk is, bepaalt wat moreel juist is.</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normatieve conclusie volgt niet uit een beschrijving van de natuur.</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appeal to nature</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kan dit zien als verkeerde analogie; de kern is het normatieve beroep op natuurlijkheid.</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feit over de natuur is niet vanzelf een morele norm.</w:t>
            </w:r>
          </w:p>
        </w:tc>
      </w:tr>
    </w:tbl>
    <w:p>
      <w:pPr>
        <w:spacing w:after="80"/>
      </w:pPr>
    </w:p>
    <w:p>
      <w:pPr>
        <w:pStyle w:val="Heading2"/>
      </w:pPr>
      <w:r>
        <w:t>C14 - Steeds nieuwe criteria</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debatmanipulatie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student vraagt om bewijs dat de nieuwe toetsvorm eerlijker is. Eerst vraagt de docent om slagingspercentages. Als die gelijk blijken, vraagt hij om tevredenheidscijfers. Als die ook gelijk zijn, zegt hij dat alleen langetermijninkomen telt.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toetsvorm is pas eerlijker bewezen als aan steeds nieuwe criteria wordt voldaan.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Eerdere gevraagde criteria worden gehaald, maar daarna wordt een nieuw criterium geintroduceerd.</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Criteria mogen achteraf onbeperkt worden aangepast zonder rechtvaardiging.</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discussie wordt procedureel verschoven in plaats van inhoudelijk beoordeeld.</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dogmatische afsluiting</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Niet elk nieuw criterium is fout; het probleem is dat kritiek door steeds nieuwe eisen praktisch wordt afgeketst.</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Leg beoordelingscriteria vooraf vast of verantwoord waarom ze veranderen.</w:t>
            </w:r>
          </w:p>
        </w:tc>
      </w:tr>
    </w:tbl>
    <w:p>
      <w:pPr>
        <w:spacing w:after="80"/>
      </w:pPr>
    </w:p>
    <w:p>
      <w:pPr>
        <w:pStyle w:val="Heading2"/>
      </w:pPr>
      <w:r>
        <w:t>C15 - Niet bewezen onveilig</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bewijslast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fabrikant zegt: critici moeten maar bewijzen dat onze nieuwe stof schadelijk is. Zolang zij dat niet doen, hoeven wij geen veiligheidsonderzoek te tonen.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fabrikant hoeft geen veiligheidsonderzoek te tonen.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Critici hebben nog niet bewezen dat de stof schadelijk is.</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De bewijslast ligt volledig bij critici, niet bij degene die het product introduceert.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verschuift de verantwoordelijkheid voor onderbouwing.</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verschuiven bewijslast</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Lijkt op ad ignorantiam; hier staat vooral centraal wie bewijs moet leveren.</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Wie een risicovolle claim of interventie verdedigt, moet passende onderbouwing leveren.</w:t>
            </w:r>
          </w:p>
        </w:tc>
      </w:tr>
    </w:tbl>
    <w:p>
      <w:pPr>
        <w:spacing w:after="80"/>
      </w:pPr>
    </w:p>
    <w:p>
      <w:pPr>
        <w:pStyle w:val="Heading2"/>
      </w:pPr>
      <w:r>
        <w:t>C16 - Zeldzame ziekte in nieuwsbericht</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empirische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complex</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nieuwsartikel meldt dat een test 99 procent betrouwbaar is en dat iemand positief test. Zonder de zeldzaamheid van de ziekte te noemen, concludeert het artikel dat de persoon vrijwel zeker ziek is.</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persoon is vrijwel zeker ziek.</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De test is 99 procent betrouwbaar; de persoon test positief.</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De basisfrequentie van de ziekte is irrelevant voor de interpretatie van een positieve test.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mist een statistisch noodzakelijke contextvariabele.</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base rate neglect</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noemt soms overhaaste generalisatie, maar het specifieke probleem is het negeren van basisfrequenties.</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testuitslag interpreteer je samen met de voorafkans, niet los daarvan.</w:t>
            </w:r>
          </w:p>
        </w:tc>
      </w:tr>
    </w:tbl>
    <w:p>
      <w:pPr>
        <w:spacing w:after="80"/>
      </w:pPr>
    </w:p>
    <w:p>
      <w:pPr>
        <w:pStyle w:val="Heading2"/>
      </w:pPr>
      <w:r>
        <w:t>C17 - Als beleid werkt, daalt verzuim</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logische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Als het nieuwe welzijnsbeleid werkt, daalt het ziekteverzuim. Het beleid werkt niet. Dus het ziekteverzuim zal niet dalen.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ziekteverzuim zal niet dalen.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Als het beleid werkt, daalt verzuim; het beleid werkt niet.</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Er is geen andere reden waardoor verzuim kan dalen.</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ongeldig</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vorm is: als P dan Q; niet P; dus niet Q. Dat is ontkenning van het antecedent.</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ontkenning antecedent</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Student verwart dit soms met modus tollens. Modus tollens ontkent Q, niet P.</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Als een voldoende voorwaarde ontbreekt, sluit dat andere oorzaken niet uit.</w:t>
            </w:r>
          </w:p>
        </w:tc>
      </w:tr>
    </w:tbl>
    <w:p>
      <w:pPr>
        <w:spacing w:after="80"/>
      </w:pPr>
    </w:p>
    <w:p>
      <w:pPr>
        <w:pStyle w:val="Heading2"/>
      </w:pPr>
      <w:r>
        <w:t>C18 - Definitie van echte wetenschap</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debatmanipulatie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Wanneer studies tegen zijn standpunt ingaan, zegt een opiniemaker: dat is geen echte wetenschap, want echte wetenschap bevestigt wat in de praktijk werkt.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Tegensprekende studies zijn geen echte wetenschap.</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De studies bevestigen het standpunt van de opiniemaker niet.</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Alleen studies die het gewenste beeld bevestigen tellen als echte wetenschap.</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categorie wordt zo gedefinieerd dat kritiek bij voorbaat buiten spel staat.</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no true Scotsman</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Kan lijken op dogmatische afsluiting; hier gebeurt dat via herdefinitie van de groep.</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Definities mogen niet achteraf zo worden aangepast dat tegenbewijs onmogelijk wordt.</w:t>
            </w:r>
          </w:p>
        </w:tc>
      </w:tr>
    </w:tbl>
    <w:p>
      <w:pPr>
        <w:spacing w:after="80"/>
      </w:pPr>
    </w:p>
    <w:p>
      <w:pPr>
        <w:pStyle w:val="Heading2"/>
      </w:pPr>
      <w:r>
        <w:t>C19 - Campus als stad</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logische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bestuurder zegt: een universiteitscampus is net als een kleine stad. Omdat steden streng parkeerbeleid nodig hebben, heeft elke campus hetzelfde strenge parkeerbeleid nodig.</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Elke campus heeft hetzelfde strenge parkeerbeleid nodig als een stad.</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Een campus lijkt op een kleine stad; steden hebben streng parkeerbeleid nodig.</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De relevante overeenkomsten tussen campus en stad zijn sterk genoeg voor dezelfde beleidsconclusie.</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analogie draagt de conclusie alleen als de relevante overeenkomsten zijn aangetoond.</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verkeerde analogie</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is niet alleen causaliteit; het argument leunt op een vergelijking.</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analogie bewijst pas iets als de relevante overeenkomsten groter zijn dan de verschillen.</w:t>
            </w:r>
          </w:p>
        </w:tc>
      </w:tr>
    </w:tbl>
    <w:p>
      <w:pPr>
        <w:spacing w:after="80"/>
      </w:pPr>
    </w:p>
    <w:p>
      <w:pPr>
        <w:pStyle w:val="Heading2"/>
      </w:pPr>
      <w:r>
        <w:t>C20 - Van evaluatie naar ontslaggolf</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causaliteit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gevorderd</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medewerker zegt: als we onderwijs jaarlijks gaan evalueren, leidt dat vanzelf tot ranglijsten, daarna tot publieke naming-and-shaming en uiteindelijk tot massaontslagen.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Jaarlijkse onderwijsevaluatie zal uiteindelijk tot massaontslagen leiden.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Evaluatie kan leiden tot ranglijsten en publieke druk.</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Elke stap in de keten zal waarschijnlijk en zonder rem optreden.</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causale keten wordt als vanzelfsprekend voorgesteld zonder onderbouwing per stap.</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hellend vlak</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Niet elke waarschuwing voor risico's is een hellend vlak; fout wordt het wanneer de keten niet aannemelijk wordt gemaakt.</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Bij ketenargumenten moet elke schakel afzonderlijk waarschijnlijk zijn.</w:t>
            </w:r>
          </w:p>
        </w:tc>
      </w:tr>
    </w:tbl>
    <w:p>
      <w:pPr>
        <w:spacing w:after="80"/>
      </w:pPr>
    </w:p>
    <w:p>
      <w:pPr>
        <w:pStyle w:val="Heading2"/>
      </w:pPr>
      <w:r>
        <w:t>C21 - Wetenschap heeft gesproken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debatmanipulatie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complex</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In een commissie zegt iemand: over dit beleid hoeven we geen vragen meer te stellen, want de wetenschap heeft gesproken. Wie nog twijfelt, is tegen wetenschap.</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Verdere vragen over het beleid zijn ongepast.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Er bestaat wetenschappelijke steun voor het beleid.</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Wetenschappelijke steun sluit kritiek, onzekerheid en beleidsafwegingen volledig uit.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discussie wordt afgesloten door twijfel zelf verdacht te maken.</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dogmatische afsluiting</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kan op ad verecundiam lijken, maar de kern is het immuniseren tegen kritiek.</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Wetenschappelijke steun kan sterk zijn, maar sluit redelijke vragen over toepassing en onzekerheid niet uit.</w:t>
            </w:r>
          </w:p>
        </w:tc>
      </w:tr>
    </w:tbl>
    <w:p>
      <w:pPr>
        <w:spacing w:after="80"/>
      </w:pPr>
    </w:p>
    <w:p>
      <w:pPr>
        <w:pStyle w:val="Heading2"/>
      </w:pPr>
      <w:r>
        <w:t>C22 - Rokende voorstander van rookverbod</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In een debat zegt een arts dat roken in openbare gebouwen verboden moet worden. Iemand reageert: daar hoef ik niet naar te luisteren, want de arts rookt zelf ook.</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argument voor een rookverbod hoeft niet serieus genomen te worden.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De arts verdedigt een rookverbod maar rookt zelf ook.</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Iemands inconsequente gedrag weerlegt automatisch diens argument.</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reactie richt zich op de inconsistentie van de spreker, niet op de kwaliteit van het argument voor het rookverbod.</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tu quoque</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lijkt op ad hominem, maar specifieker: de aanval zegt vooral 'jij doet het zelf ook'.</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Hypocrisie kan relevant zijn voor geloofwaardigheid, maar weerlegt de inhoud van een argument niet vanzelf.</w:t>
            </w:r>
          </w:p>
        </w:tc>
      </w:tr>
    </w:tbl>
    <w:p>
      <w:pPr>
        <w:spacing w:after="80"/>
      </w:pPr>
    </w:p>
    <w:p>
      <w:pPr>
        <w:pStyle w:val="Heading2"/>
      </w:pPr>
      <w:r>
        <w:t>C23 - De liegende opponent</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student verdedigt een stelling over privacywetgeving. De tegenpartij zegt: hij heeft vorig jaar gelogen over zijn stage, dus zijn standpunt over privacy klopt niet.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privacy-standpunt van de student klopt niet.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De student heeft eerder gelogen over zijn stage.</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Een slechte eigenschap of eerdere fout van de persoon maakt diens huidige argument onwaar.</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valt de persoon aan in plaats van het argument over privacywetgeving.</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ad hominem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Karakterinformatie kan soms relevant zijn voor betrouwbaarheid, maar is geen inhoudelijke weerlegging van het standpunt.</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argument moet op zijn redenen worden beoordeeld, niet alleen op de reputatie van de spreker.</w:t>
            </w:r>
          </w:p>
        </w:tc>
      </w:tr>
    </w:tbl>
    <w:p>
      <w:pPr>
        <w:spacing w:after="80"/>
      </w:pPr>
    </w:p>
    <w:p>
      <w:pPr>
        <w:pStyle w:val="Heading2"/>
      </w:pPr>
      <w:r>
        <w:t>C24 - Niemand heeft het tegendeel bewezen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bewijslast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Iemand zegt: dit oude verhaal moet waar zijn, want niemand heeft ooit bewezen dat het onwaar is.</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Het oude verhaal is waar.</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Niemand heeft bewezen dat het verhaal onwaar is.</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Wat niet weerlegd is, mag als bewezen waar worden beschouwd.</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Afwezigheid van weerlegging wordt behandeld als positief bewijs voor waarheid.</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argumentum ad ignorantiam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kan ook lijken op verschuiven van bewijslast, maar de kern is onwetendheid gebruiken als bewijs.</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Niet kunnen bewijzen dat iets onwaar is, bewijst nog niet dat het waar is.</w:t>
            </w:r>
          </w:p>
        </w:tc>
      </w:tr>
    </w:tbl>
    <w:p>
      <w:pPr>
        <w:spacing w:after="80"/>
      </w:pPr>
    </w:p>
    <w:p>
      <w:pPr>
        <w:pStyle w:val="Heading2"/>
      </w:pPr>
      <w:r>
        <w:t>C25 - Iedereen zegt het</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relevantie</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leerling zegt: deze uitleg van het examen moet juist zijn, want iedereen in de groepschat zegt hetzelfde.</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De uitleg van het examen is juist.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Iedereen in de groepschat zegt dat deze uitleg klopt.</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Als een grote groep iets vindt, is het daardoor waar.</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gebruikt groepssteun als doorslaggevend bewijs voor waarheid.</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ad populum</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Meerderheidssteun kan reden zijn om iets te onderzoeken, maar vervangt geen inhoudelijk bewijs.</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Waarheid hangt niet simpelweg af van hoeveel mensen iets beweren.</w:t>
            </w:r>
          </w:p>
        </w:tc>
      </w:tr>
    </w:tbl>
    <w:p>
      <w:pPr>
        <w:spacing w:after="80"/>
      </w:pPr>
    </w:p>
    <w:p>
      <w:pPr>
        <w:pStyle w:val="Heading2"/>
      </w:pPr>
      <w:r>
        <w:t>C26 - Eten en televisie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causaliteit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Een huisgenoot zegt: telkens nadat we hebben gegeten, zet iemand de televisie aan. Dus eten veroorzaakt blijkbaar televisiekijken.</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Eten veroorzaakt televisiekijken.</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Televisiekijken gebeurt vaak na het eten.</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Als B vaak na A gebeurt, dan veroorzaakt A B.</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De redenering springt van volgorde in de tijd naar oorzaak.</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post hoc ergo propter hoc</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kan op cum hoc lijken, maar hier ligt de nadruk op 'erna, dus erdoor'.</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Dat iets na iets anders gebeurt, is nog geen bewijs dat het daardoor gebeurt.</w:t>
            </w:r>
          </w:p>
        </w:tc>
      </w:tr>
    </w:tbl>
    <w:p>
      <w:pPr>
        <w:spacing w:after="80"/>
      </w:pPr>
    </w:p>
    <w:p>
      <w:pPr>
        <w:pStyle w:val="Heading2"/>
      </w:pPr>
      <w:r>
        <w:t>C27 - Een zwarte zwaan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1700"/>
        <w:gridCol w:w="7660"/>
      </w:tblGrid>
      <w:tr>
        <w:tc>
          <w:tcPr>
            <w:tcW w:type="dxa" w:w="1700"/>
            <w:shd w:fill="E8EEF5"/>
            <w:vAlign w:val="center"/>
          </w:tcPr>
          <w:p>
            <w:pPr>
              <w:spacing w:after="0" w:line="276" w:lineRule="auto"/>
            </w:pPr>
            <w:r>
              <w:rPr>
                <w:b/>
                <w:color w:val="1F4D78"/>
              </w:rPr>
              <w:t>Categorie</w:t>
            </w:r>
          </w:p>
        </w:tc>
        <w:tc>
          <w:tcPr>
            <w:tcW w:type="dxa" w:w="7660"/>
            <w:vAlign w:val="center"/>
          </w:tcPr>
          <w:p>
            <w:pPr>
              <w:spacing w:after="0" w:line="276" w:lineRule="auto"/>
            </w:pPr>
            <w:r>
              <w:t>empirische fout</w:t>
            </w:r>
          </w:p>
        </w:tc>
      </w:tr>
      <w:tr>
        <w:tc>
          <w:tcPr>
            <w:tcW w:type="dxa" w:w="1700"/>
            <w:shd w:fill="E8EEF5"/>
            <w:vAlign w:val="center"/>
          </w:tcPr>
          <w:p>
            <w:pPr>
              <w:spacing w:after="0" w:line="276" w:lineRule="auto"/>
            </w:pPr>
            <w:r>
              <w:rPr>
                <w:b/>
                <w:color w:val="1F4D78"/>
              </w:rPr>
              <w:t>Moeilijkheid</w:t>
            </w:r>
          </w:p>
        </w:tc>
        <w:tc>
          <w:tcPr>
            <w:tcW w:type="dxa" w:w="7660"/>
            <w:vAlign w:val="center"/>
          </w:tcPr>
          <w:p>
            <w:pPr>
              <w:spacing w:after="0" w:line="276" w:lineRule="auto"/>
            </w:pPr>
            <w:r>
              <w:t>basis</w:t>
            </w:r>
          </w:p>
        </w:tc>
      </w:tr>
      <w:tr>
        <w:tc>
          <w:tcPr>
            <w:tcW w:type="dxa" w:w="1700"/>
            <w:shd w:fill="E8EEF5"/>
            <w:vAlign w:val="center"/>
          </w:tcPr>
          <w:p>
            <w:pPr>
              <w:spacing w:after="0" w:line="276" w:lineRule="auto"/>
            </w:pPr>
            <w:r>
              <w:rPr>
                <w:b/>
                <w:color w:val="1F4D78"/>
              </w:rPr>
              <w:t>Casustekst</w:t>
            </w:r>
          </w:p>
        </w:tc>
        <w:tc>
          <w:tcPr>
            <w:tcW w:type="dxa" w:w="7660"/>
            <w:vAlign w:val="center"/>
          </w:tcPr>
          <w:p>
            <w:pPr>
              <w:spacing w:after="0" w:line="276" w:lineRule="auto"/>
            </w:pPr>
            <w:r>
              <w:t>Tijdens een excursie ziet iemand een zwarte zwaan en concludeert meteen: zwanen zijn zwart.</w:t>
            </w:r>
          </w:p>
        </w:tc>
      </w:tr>
      <w:tr>
        <w:tc>
          <w:tcPr>
            <w:tcW w:type="dxa" w:w="1700"/>
            <w:shd w:fill="E8EEF5"/>
            <w:vAlign w:val="center"/>
          </w:tcPr>
          <w:p>
            <w:pPr>
              <w:spacing w:after="0" w:line="276" w:lineRule="auto"/>
            </w:pPr>
            <w:r>
              <w:rPr>
                <w:b/>
                <w:color w:val="1F4D78"/>
              </w:rPr>
              <w:t>Standpunt</w:t>
            </w:r>
          </w:p>
        </w:tc>
        <w:tc>
          <w:tcPr>
            <w:tcW w:type="dxa" w:w="7660"/>
            <w:vAlign w:val="center"/>
          </w:tcPr>
          <w:p>
            <w:pPr>
              <w:spacing w:after="0" w:line="276" w:lineRule="auto"/>
            </w:pPr>
            <w:r>
              <w:t>Zwanen zijn zwart.</w:t>
            </w:r>
          </w:p>
        </w:tc>
      </w:tr>
      <w:tr>
        <w:tc>
          <w:tcPr>
            <w:tcW w:type="dxa" w:w="1700"/>
            <w:shd w:fill="E8EEF5"/>
            <w:vAlign w:val="center"/>
          </w:tcPr>
          <w:p>
            <w:pPr>
              <w:spacing w:after="0" w:line="276" w:lineRule="auto"/>
            </w:pPr>
            <w:r>
              <w:rPr>
                <w:b/>
                <w:color w:val="1F4D78"/>
              </w:rPr>
              <w:t>Gegeven argument(en)</w:t>
            </w:r>
          </w:p>
        </w:tc>
        <w:tc>
          <w:tcPr>
            <w:tcW w:type="dxa" w:w="7660"/>
            <w:vAlign w:val="center"/>
          </w:tcPr>
          <w:p>
            <w:pPr>
              <w:spacing w:after="0" w:line="276" w:lineRule="auto"/>
            </w:pPr>
            <w:r>
              <w:t>Er is een zwarte zwaan gezien.</w:t>
            </w:r>
          </w:p>
        </w:tc>
      </w:tr>
      <w:tr>
        <w:tc>
          <w:tcPr>
            <w:tcW w:type="dxa" w:w="1700"/>
            <w:shd w:fill="E8EEF5"/>
            <w:vAlign w:val="center"/>
          </w:tcPr>
          <w:p>
            <w:pPr>
              <w:spacing w:after="0" w:line="276" w:lineRule="auto"/>
            </w:pPr>
            <w:r>
              <w:rPr>
                <w:b/>
                <w:color w:val="1F4D78"/>
              </w:rPr>
              <w:t>Verzwegen argument</w:t>
            </w:r>
          </w:p>
        </w:tc>
        <w:tc>
          <w:tcPr>
            <w:tcW w:type="dxa" w:w="7660"/>
            <w:vAlign w:val="center"/>
          </w:tcPr>
          <w:p>
            <w:pPr>
              <w:spacing w:after="0" w:line="276" w:lineRule="auto"/>
            </w:pPr>
            <w:r>
              <w:t>Een enkel waargenomen geval is genoeg voor een algemene uitspraak over alle zwanen.</w:t>
            </w:r>
          </w:p>
        </w:tc>
      </w:tr>
      <w:tr>
        <w:tc>
          <w:tcPr>
            <w:tcW w:type="dxa" w:w="1700"/>
            <w:shd w:fill="E8EEF5"/>
            <w:vAlign w:val="center"/>
          </w:tcPr>
          <w:p>
            <w:pPr>
              <w:spacing w:after="0" w:line="276" w:lineRule="auto"/>
            </w:pPr>
            <w:r>
              <w:rPr>
                <w:b/>
                <w:color w:val="1F4D78"/>
              </w:rPr>
              <w:t>Logische status</w:t>
            </w:r>
          </w:p>
        </w:tc>
        <w:tc>
          <w:tcPr>
            <w:tcW w:type="dxa" w:w="7660"/>
            <w:vAlign w:val="center"/>
          </w:tcPr>
          <w:p>
            <w:pPr>
              <w:spacing w:after="0" w:line="276" w:lineRule="auto"/>
            </w:pPr>
            <w:r>
              <w:t>niet-formeel</w:t>
            </w:r>
          </w:p>
        </w:tc>
      </w:tr>
      <w:tr>
        <w:tc>
          <w:tcPr>
            <w:tcW w:type="dxa" w:w="1700"/>
            <w:shd w:fill="E8EEF5"/>
            <w:vAlign w:val="center"/>
          </w:tcPr>
          <w:p>
            <w:pPr>
              <w:spacing w:after="0" w:line="276" w:lineRule="auto"/>
            </w:pPr>
            <w:r>
              <w:rPr>
                <w:b/>
                <w:color w:val="1F4D78"/>
              </w:rPr>
              <w:t>Uitleg status</w:t>
            </w:r>
          </w:p>
        </w:tc>
        <w:tc>
          <w:tcPr>
            <w:tcW w:type="dxa" w:w="7660"/>
            <w:vAlign w:val="center"/>
          </w:tcPr>
          <w:p>
            <w:pPr>
              <w:spacing w:after="0" w:line="276" w:lineRule="auto"/>
            </w:pPr>
            <w:r>
              <w:t>Een bijzonder geval wordt te snel uitgebreid naar een algemene conclusie.</w:t>
            </w:r>
          </w:p>
        </w:tc>
      </w:tr>
      <w:tr>
        <w:tc>
          <w:tcPr>
            <w:tcW w:type="dxa" w:w="1700"/>
            <w:shd w:fill="E8EEF5"/>
            <w:vAlign w:val="center"/>
          </w:tcPr>
          <w:p>
            <w:pPr>
              <w:spacing w:after="0" w:line="276" w:lineRule="auto"/>
            </w:pPr>
            <w:r>
              <w:rPr>
                <w:b/>
                <w:color w:val="1F4D78"/>
              </w:rPr>
              <w:t>Drogredenlabel</w:t>
            </w:r>
          </w:p>
        </w:tc>
        <w:tc>
          <w:tcPr>
            <w:tcW w:type="dxa" w:w="7660"/>
            <w:vAlign w:val="center"/>
          </w:tcPr>
          <w:p>
            <w:pPr>
              <w:spacing w:after="0" w:line="276" w:lineRule="auto"/>
            </w:pPr>
            <w:r>
              <w:t>secundum quid</w:t>
            </w:r>
          </w:p>
        </w:tc>
      </w:tr>
      <w:tr>
        <w:tc>
          <w:tcPr>
            <w:tcW w:type="dxa" w:w="1700"/>
            <w:shd w:fill="E8EEF5"/>
            <w:vAlign w:val="center"/>
          </w:tcPr>
          <w:p>
            <w:pPr>
              <w:spacing w:after="0" w:line="276" w:lineRule="auto"/>
            </w:pPr>
            <w:r>
              <w:rPr>
                <w:b/>
                <w:color w:val="1F4D78"/>
              </w:rPr>
              <w:t>Typische verwarring</w:t>
            </w:r>
          </w:p>
        </w:tc>
        <w:tc>
          <w:tcPr>
            <w:tcW w:type="dxa" w:w="7660"/>
            <w:vAlign w:val="center"/>
          </w:tcPr>
          <w:p>
            <w:pPr>
              <w:spacing w:after="0" w:line="276" w:lineRule="auto"/>
            </w:pPr>
            <w:r>
              <w:t>Dit wordt ook vaak overhaaste generalisatie genoemd; secundum quid benadrukt de te snelle stap van beperkt geval naar algemene regel.</w:t>
            </w:r>
          </w:p>
        </w:tc>
      </w:tr>
      <w:tr>
        <w:tc>
          <w:tcPr>
            <w:tcW w:type="dxa" w:w="1700"/>
            <w:shd w:fill="E8EEF5"/>
            <w:vAlign w:val="center"/>
          </w:tcPr>
          <w:p>
            <w:pPr>
              <w:spacing w:after="0" w:line="276" w:lineRule="auto"/>
            </w:pPr>
            <w:r>
              <w:rPr>
                <w:b/>
                <w:color w:val="1F4D78"/>
              </w:rPr>
              <w:t>Leerprincipe</w:t>
            </w:r>
          </w:p>
        </w:tc>
        <w:tc>
          <w:tcPr>
            <w:tcW w:type="dxa" w:w="7660"/>
            <w:vAlign w:val="center"/>
          </w:tcPr>
          <w:p>
            <w:pPr>
              <w:spacing w:after="0" w:line="276" w:lineRule="auto"/>
            </w:pPr>
            <w:r>
              <w:t>Een algemene uitspraak vraagt om voldoende en representatieve waarnemingen.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