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0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UNIVERSIDAD DE LAS FUERZAS ARMADAS – ESPE</w:t>
      </w:r>
    </w:p>
    <w:p>
      <w:pPr>
        <w:spacing w:after="40" w:before="0" w:line="3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DEPARTAMENTO DE CIENCIAS DE LA COMPUTACIÓN</w:t>
      </w:r>
    </w:p>
    <w:p>
      <w:pPr>
        <w:spacing w:after="360" w:before="0" w:lin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ARQUITECTURA DE SOFTWARE – NRC 36841 – GRUPO 1</w:t>
      </w:r>
    </w:p>
    <w:p>
      <w:pPr>
        <w:keepNext/>
        <w:jc w:val="center"/>
      </w:pPr>
      <w:r>
        <w:drawing>
          <wp:inline distT="0" distB="0" distL="0" distR="0">
            <wp:extent cx="2190750" cy="1457325"/>
            <wp:effectExtent t="0" r="0" b="0" l="0"/>
            <wp:docPr id="99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MON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360" w:line="3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Tema</w:t>
      </w:r>
    </w:p>
    <w:p>
      <w:pPr>
        <w:spacing w:after="320" w:before="0" w:line="3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ESPECIFICACIÓN DE CASOS DE USO DETALLADO SISTEMA DE CONVERSIÓN DE UNIDADES MONSTER</w:t>
      </w:r>
    </w:p>
    <w:p>
      <w:pPr>
        <w:spacing w:after="40" w:before="0" w:line="3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Autores</w:t>
      </w:r>
    </w:p>
    <w:p>
      <w:pPr>
        <w:spacing w:after="40" w:before="0" w:lin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BENALCAZAR FARINANGO MOISES SEBASTIAN</w:t>
      </w:r>
    </w:p>
    <w:p>
      <w:pPr>
        <w:spacing w:after="40" w:before="0" w:lin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BUESTÁN GUAILLAS WILMER OMAR</w:t>
      </w:r>
    </w:p>
    <w:p>
      <w:pPr>
        <w:spacing w:after="40" w:before="0" w:lin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MASAPANTA GUILCATOMA JEFFERSON SANTIAGO</w:t>
      </w:r>
    </w:p>
    <w:p>
      <w:pPr>
        <w:spacing w:after="40" w:before="280" w:line="3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Tutor</w:t>
      </w:r>
    </w:p>
    <w:p>
      <w:pPr>
        <w:spacing w:after="40" w:before="0" w:lin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Ing. Eduardo Mauricio Campaña Ortega</w:t>
      </w:r>
    </w:p>
    <w:p>
      <w:pPr>
        <w:spacing w:after="40" w:before="0" w:lin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MIS.MDU.CCNA.CCIA.</w:t>
      </w:r>
    </w:p>
    <w:p>
      <w:pPr>
        <w:spacing w:after="40" w:before="0" w:lin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PhD. (c) Ingeniería de Software PhD. (c) Seguridad Información</w:t>
      </w:r>
    </w:p>
    <w:p>
      <w:pPr>
        <w:spacing w:after="40" w:before="280" w:line="3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Fecha</w:t>
      </w:r>
    </w:p>
    <w:p>
      <w:pPr>
        <w:spacing w:after="40" w:before="0" w:line="3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28/10/2026</w:t>
      </w:r>
    </w:p>
    <w:p>
      <w:pPr>
        <w:sectPr>
          <w:pgSz w:w="11906" w:h="16838" w:orient="portrait"/>
          <w:pgMar w:top="1200" w:right="1440" w:bottom="1200" w:left="1440" w:header="708" w:footer="708" w:gutter="0"/>
          <w:pgBorders>
            <w:top w:val="single" w:color="1F3864" w:sz="24" w:space="24"/>
            <w:left w:val="single" w:color="1F3864" w:sz="48" w:space="24"/>
            <w:bottom w:val="single" w:color="1F3864" w:sz="24" w:space="24"/>
            <w:right w:val="single" w:color="1F3864" w:sz="24" w:space="24"/>
          </w:pgBorders>
          <w:pgNumType/>
          <w:docGrid w:linePitch="360"/>
        </w:sectPr>
      </w:pPr>
    </w:p>
    <w:p>
      <w:pPr>
        <w:spacing w:after="120" w:before="0" w:line="300"/>
        <w:jc w:val="both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ÍNDICE DE CONTENIDOS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0" w:line="300"/>
        <w:jc w:val="both"/>
      </w:pPr>
      <w:r>
        <w:rPr>
          <w:rFonts w:ascii="Arial" w:cs="Arial" w:eastAsia="Arial" w:hAnsi="Arial"/>
          <w:i/>
          <w:iCs/>
          <w:color w:val="7F7F7F"/>
          <w:sz w:val="16"/>
          <w:szCs w:val="16"/>
        </w:rPr>
        <w:t xml:space="preserve">Nota: si el índice aparece vacío, haga clic derecho sobre él → Actualizar campo → Actualizar toda la tabla.</w:t>
      </w:r>
    </w:p>
    <w:p>
      <w:r>
        <w:br w:type="page"/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ÍNDICE DE ILUSTRACIONES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Ilustración 1. Diagrama general de casos de uso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Ilustración 2. Diagrama de actividad — CU-01 Iniciar sesión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Ilustración 3. Diagrama de actividad — CU-02 Convertir Longitud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Ilustración 4. Diagrama de actividad — CU-03 Convertir Masa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Ilustración 5. Diagrama de actividad — CU-04 Convertir Temperatura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Ilustración 6. Diagrama de actividad — CU-05 Convertir Tiempo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Ilustración 7. Diagrama de actividad — CU-06 Consultar historial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Ilustración 8. Diagrama de actividad — CU-07 Cerrar sesión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Ilustración 9. Diagrama de actividad — CU-08 Monitorear servidor</w:t>
      </w:r>
    </w:p>
    <w:p>
      <w:pPr>
        <w:spacing w:after="120" w:before="200" w:line="300"/>
        <w:jc w:val="both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ÍNDICE DE TABLAS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1. Resumen de casos de uso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2. ECUD — CU-01: Iniciar sesión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3. Flujo básico — CU-01 Iniciar sesión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4. ECUD — CU-02: Convertir Longitud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5. Flujo básico — CU-02 Convertir Longitud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6. ECUD — CU-03: Convertir Masa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7. Flujo básico — CU-03 Convertir Masa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8. ECUD — CU-04: Convertir Temperatura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9. Flujo básico — CU-04 Convertir Temperatura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10. ECUD — CU-05: Convertir Tiempo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11. Flujo básico — CU-05 Convertir Tiempo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12. ECUD — CU-06: Consultar historial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13. Flujo básico — CU-06 Consultar historial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14. ECUD — CU-07: Cerrar sesión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15. Flujo básico — CU-07 Cerrar sesión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16. ECUD — CU-08: Monitorear servidor</w:t>
      </w:r>
    </w:p>
    <w:p>
      <w:pPr>
        <w:spacing w:after="40" w:before="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Tabla 17. Flujo básico — CU-08 Monitorear servidor</w:t>
      </w:r>
    </w:p>
    <w:p>
      <w:pPr>
        <w:pageBreakBefore/>
        <w:spacing w:after="120" w:before="0" w:line="30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ESPECIFICACIÓN DE CASOS DE USO DETALLADO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continuación se presenta la Especificación de Casos de Uso Detallado (ECUD) del sistema “Conversión de Unidades Monster”, implementado como servicio RESTful en Java (Jakarta EE sobre Payara Server) y consumido por clientes de consola, escritorio, web y móvil Android. Las credenciales del sistema son: usuario monster, clave monster69 (almacenada como hash SHA-256).</w:t>
      </w:r>
    </w:p>
    <w:p>
      <w:pPr>
        <w:keepNext/>
        <w:jc w:val="center"/>
      </w:pPr>
      <w:r>
        <w:drawing>
          <wp:inline distT="0" distB="0" distL="0" distR="0">
            <wp:extent cx="5715000" cy="582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PD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before="120"/>
        <w:jc w:val="center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Ilustración 1. Diagrama general de casos de uso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1. Resumen de casos de uso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000"/>
        <w:gridCol w:w="3426"/>
      </w:tblGrid>
      <w:tr>
        <w:trPr>
          <w:tblHeader/>
        </w:trPr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CU-01</w:t>
            </w:r>
          </w:p>
        </w:tc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Iniciar sesión</w:t>
            </w:r>
          </w:p>
        </w:tc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 final</w:t>
            </w:r>
          </w:p>
        </w:tc>
        <w:tc>
          <w:tcPr>
            <w:tcW w:type="dxa" w:w="3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/api/auth/login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CU-02</w:t>
            </w:r>
          </w:p>
        </w:tc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Convertir longitud</w:t>
            </w:r>
          </w:p>
        </w:tc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 final</w:t>
            </w:r>
          </w:p>
        </w:tc>
        <w:tc>
          <w:tcPr>
            <w:tcW w:type="dxa" w:w="3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/api/conversiones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CU-03</w:t>
            </w:r>
          </w:p>
        </w:tc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Convertir masa</w:t>
            </w:r>
          </w:p>
        </w:tc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 final</w:t>
            </w:r>
          </w:p>
        </w:tc>
        <w:tc>
          <w:tcPr>
            <w:tcW w:type="dxa" w:w="3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/api/conversiones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CU-04</w:t>
            </w:r>
          </w:p>
        </w:tc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Convertir temperatura</w:t>
            </w:r>
          </w:p>
        </w:tc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 final</w:t>
            </w:r>
          </w:p>
        </w:tc>
        <w:tc>
          <w:tcPr>
            <w:tcW w:type="dxa" w:w="3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/api/conversiones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CU-05</w:t>
            </w:r>
          </w:p>
        </w:tc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Convertir tiempo</w:t>
            </w:r>
          </w:p>
        </w:tc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 final</w:t>
            </w:r>
          </w:p>
        </w:tc>
        <w:tc>
          <w:tcPr>
            <w:tcW w:type="dxa" w:w="3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/api/conversiones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CU-06</w:t>
            </w:r>
          </w:p>
        </w:tc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Consultar historial</w:t>
            </w:r>
          </w:p>
        </w:tc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 final</w:t>
            </w:r>
          </w:p>
        </w:tc>
        <w:tc>
          <w:tcPr>
            <w:tcW w:type="dxa" w:w="3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/api/conversiones/historial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CU-07</w:t>
            </w:r>
          </w:p>
        </w:tc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Cerrar sesión</w:t>
            </w:r>
          </w:p>
        </w:tc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 final</w:t>
            </w:r>
          </w:p>
        </w:tc>
        <w:tc>
          <w:tcPr>
            <w:tcW w:type="dxa" w:w="3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/api/auth/logout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CU-08</w:t>
            </w:r>
          </w:p>
        </w:tc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Monitorear servidor</w:t>
            </w:r>
          </w:p>
        </w:tc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3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/api/estado</w:t>
            </w:r>
          </w:p>
        </w:tc>
      </w:tr>
    </w:tbl>
    <w:p>
      <w:pPr>
        <w:pStyle w:val="Heading1"/>
        <w:keepNext/>
        <w:pageBreakBefore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ECUD_INICIAR_SESIÓN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continuación se muestra la especificación del caso de uso CU-01: Iniciar sesión.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2. ECUD — CU-01: Iniciar sesión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ECUD — CU-01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INICIAR SESIÓN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caso de uso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Iniciar sesión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 final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Permite al usuario autenticarse enviando su usuario y clave al endpoint POST /api/auth/login. Si las credenciales son correctas, el servidor genera un token de sesión con expiración de 30 minutos.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obtiene un token válido que deberá enviar en el encabezado Authorization de cada petición protegida.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Autor(es)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Moisés Benalcázar, Wilmer Buestán, Jefferson Masapanta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creación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28/10/2026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modificación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28/10/2026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usuario: nombre de usuario.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clave: contraseña del usuario.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cliente: tipo de cliente (CONSOLA, ESCRITORIO, WEB o MOVIL).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servidor está desplegado y accesible en la 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conoce sus credenciales.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Éxito: HTTP 200 con exito = true, el token, la fecha de expiración y el mensaje “Bienvenido al sistema”.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Fallo: HTTP 401 con exito = false y el mensaje “Usuario o clave incorrectos”; no se genera token.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incluidos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extendidos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Gráfico</w:t>
      </w:r>
    </w:p>
    <w:p>
      <w:pPr>
        <w:keepNext/>
        <w:jc w:val="center"/>
      </w:pPr>
      <w:r>
        <w:drawing>
          <wp:inline distT="0" distB="0" distL="0" distR="0">
            <wp:extent cx="5715000" cy="5101418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PD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0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before="120"/>
        <w:jc w:val="center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Ilustración 2. Diagrama de actividad — CU-01 Iniciar sesión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 básico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3. Flujo básico — CU-01 Iniciar sesión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Abre el cliente y visualiza la pantalla de inicio de sesión.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Ingresa usuario y clave y presiona “Ingresar”.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El cliente envía POST /api/auth/login con las credenciales.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El servidor calcula el hash SHA-256 de la clave y lo compara con el hash almacenado del usuario.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El servidor genera un token aleatorio, lo registra en memoria con su fecha de expiración y el tipo de cliente.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El servidor responde con el token y el mensaje de bienvenida.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El cliente guarda el token y muestra la pantalla de conversiones.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Flujos alternativos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Credenciales incorrectas: HTTP 401 “Usuario o clave incorrectos”; el cliente muestra el mensaje con una animación de error.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Campos vacíos: el cliente solicita completar los campos sin enviar la petición (si llegan al servidor, HTTP 400).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Servidor no disponible: el cliente informa “No se pudo conectar con el servidor”.</w:t>
      </w:r>
    </w:p>
    <w:p>
      <w:pPr>
        <w:pStyle w:val="Heading1"/>
        <w:keepNext/>
        <w:pageBreakBefore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ECUD_CONVERTIR_LONGITUD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continuación se muestra la especificación del caso de uso CU-02: Convertir Longitud.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4. ECUD — CU-02: Convertir Longitud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ECUD — CU-02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CONVERTIR LONGITUD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caso de uso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Convertir Longitud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CU-02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 final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Permite al usuario autenticado convertir un valor de longitud entre las unidades soportadas: centímetros, metros, kilómetros, pies y millas. La solicitud se envía a POST /api/conversiones con la magnitud “LONGITUD”.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obtiene el valor convertido, redondeado a cuatro decimales, y la conversión queda registrada en su historial.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Autor(es)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Moisés Benalcázar, Wilmer Buestán, Jefferson Masapanta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creación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28/10/2026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modificación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28/10/2026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de sesión (encabezado Authorization: Bearer).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magnitud = LONGITUD.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unidadOrigen y unidadDestino: unidades del catálogo.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valor: número decimal.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ha iniciado sesión y su token no ha expirado.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cliente cargó el catálogo de unidades (GET /api/conversiones/unidades).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Éxito: HTTP 200 con exito = true, el resultado y el mensaje “Conversión exitosa”; se registra en el historial.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Fallo: HTTP 400 o 401 con exito = false y el motivo del error; no se registra en el historial.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incluidos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Validar token; Consultar unidades disponibles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extendidos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Gráfico</w:t>
      </w:r>
    </w:p>
    <w:p>
      <w:pPr>
        <w:keepNext/>
        <w:jc w:val="center"/>
      </w:pPr>
      <w:r>
        <w:drawing>
          <wp:inline distT="0" distB="0" distL="0" distR="0">
            <wp:extent cx="5715000" cy="5669091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PD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6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before="120"/>
        <w:jc w:val="center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Ilustración 3. Diagrama de actividad — CU-02 Convertir Longitud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 básico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5. Flujo básico — CU-02 Convertir Longitud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Selecciona la magnitud Longitud.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Muestra en las listas las unidades de longitud obtenidas del catálogo.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Selecciona la unidad de origen, la unidad de destino e ingresa el valor.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Presiona “Convertir”.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El cliente envía la petición POST /api/conversiones con el token.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El servidor valida el token y los datos de entrada.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El servidor convierte el valor a la unidad base (metro) y luego a la unidad destino.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El servidor registra la conversión en el historial y responde con el resultado.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El cliente muestra el resultado con una animación.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Flujos alternativos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Token ausente, inválido o expirado: el servidor responde HTTP 401 “Sesión no válida o expirada” y el cliente regresa a la pantalla de inicio de sesión.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Valor vacío o no numérico: el cliente o el servidor informa “Ingrese un valor numérico válido” (HTTP 400).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Unidad no soportada o de otra magnitud: el servidor responde HTTP 400 “Unidad no soportada”.</w:t>
      </w:r>
    </w:p>
    <w:p>
      <w:pPr>
        <w:pStyle w:val="Heading1"/>
        <w:keepNext/>
        <w:pageBreakBefore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ECUD_CONVERTIR_MASA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continuación se muestra la especificación del caso de uso CU-03: Convertir Masa.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6. ECUD — CU-03: Convertir Masa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ECUD — CU-03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CONVERTIR MASA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caso de uso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Convertir Masa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CU-03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 final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Permite al usuario autenticado convertir un valor de masa entre las unidades soportadas: gramos, kilogramos, onzas, libras y quintales. La solicitud se envía a POST /api/conversiones con la magnitud “MASA”.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obtiene el valor convertido, redondeado a cuatro decimales, y la conversión queda registrada en su historial.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Autor(es)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Moisés Benalcázar, Wilmer Buestán, Jefferson Masapanta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creación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28/10/2026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modificación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28/10/2026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de sesión (encabezado Authorization: Bearer).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magnitud = MASA.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unidadOrigen y unidadDestino: unidades del catálogo.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valor: número decimal.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ha iniciado sesión y su token no ha expirado.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cliente cargó el catálogo de unidades (GET /api/conversiones/unidades).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Éxito: HTTP 200 con exito = true, el resultado y el mensaje “Conversión exitosa”; se registra en el historial.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Fallo: HTTP 400 o 401 con exito = false y el motivo del error; no se registra en el historial.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incluidos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Validar token; Consultar unidades disponibles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extendidos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Gráfico</w:t>
      </w:r>
    </w:p>
    <w:p>
      <w:pPr>
        <w:keepNext/>
        <w:jc w:val="center"/>
      </w:pPr>
      <w:r>
        <w:drawing>
          <wp:inline distT="0" distB="0" distL="0" distR="0">
            <wp:extent cx="5715000" cy="5669091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PD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6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before="120"/>
        <w:jc w:val="center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Ilustración 4. Diagrama de actividad — CU-03 Convertir Masa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 básico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7. Flujo básico — CU-03 Convertir Masa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Selecciona la magnitud Masa.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Muestra en las listas las unidades de masa obtenidas del catálogo.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Selecciona la unidad de origen, la unidad de destino e ingresa el valor.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Presiona “Convertir”.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El cliente envía la petición POST /api/conversiones con el token.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El servidor valida el token y los datos de entrada.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El servidor convierte el valor a la unidad base (kilogramo) y luego a la unidad destino.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El servidor registra la conversión en el historial y responde con el resultado.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El cliente muestra el resultado con una animación.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Flujos alternativos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Token ausente, inválido o expirado: el servidor responde HTTP 401 “Sesión no válida o expirada” y el cliente regresa a la pantalla de inicio de sesión.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Valor vacío o no numérico: el cliente o el servidor informa “Ingrese un valor numérico válido” (HTTP 400).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Unidad no soportada o de otra magnitud: el servidor responde HTTP 400 “Unidad no soportada”.</w:t>
      </w:r>
    </w:p>
    <w:p>
      <w:pPr>
        <w:pStyle w:val="Heading1"/>
        <w:keepNext/>
        <w:pageBreakBefore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ECUD_CONVERTIR_TEMPERATURA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continuación se muestra la especificación del caso de uso CU-04: Convertir Temperatura.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8. ECUD — CU-04: Convertir Temperatura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ECUD — CU-04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CONVERTIR TEMPERATURA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caso de uso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Convertir Temperatura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CU-04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 final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Permite al usuario autenticado convertir un valor de temperatura entre las unidades soportadas: grados Celsius, grados Fahrenheit y Kelvin. La solicitud se envía a POST /api/conversiones con la magnitud “TEMPERATURA”.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obtiene el valor convertido, redondeado a cuatro decimales, y la conversión queda registrada en su historial.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Autor(es)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Moisés Benalcázar, Wilmer Buestán, Jefferson Masapanta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creación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28/10/2026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modificación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28/10/2026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de sesión (encabezado Authorization: Bearer).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magnitud = TEMPERATURA.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unidadOrigen y unidadDestino: unidades del catálogo.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valor: número decimal.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ha iniciado sesión y su token no ha expirado.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cliente cargó el catálogo de unidades (GET /api/conversiones/unidades).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Éxito: HTTP 200 con exito = true, el resultado y el mensaje “Conversión exitosa”; se registra en el historial.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Fallo: HTTP 400 o 401 con exito = false y el motivo del error; no se registra en el historial.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incluidos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Validar token; Consultar unidades disponibles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extendidos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Gráfico</w:t>
      </w:r>
    </w:p>
    <w:p>
      <w:pPr>
        <w:keepNext/>
        <w:jc w:val="center"/>
      </w:pPr>
      <w:r>
        <w:drawing>
          <wp:inline distT="0" distB="0" distL="0" distR="0">
            <wp:extent cx="4838700" cy="479983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PD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479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before="120"/>
        <w:jc w:val="center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Ilustración 5. Diagrama de actividad — CU-04 Convertir Temperatura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 básico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9. Flujo básico — CU-04 Convertir Temperatura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Selecciona la magnitud Temperatura.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Muestra en las listas las unidades de temperatura obtenidas del catálogo.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Selecciona la unidad de origen, la unidad de destino e ingresa el valor.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Presiona “Convertir”.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El cliente envía la petición POST /api/conversiones con el token.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El servidor valida el token y los datos de entrada.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El servidor convierte el valor a la unidad base (grado Celsius) y luego a la unidad destino.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El servidor registra la conversión en el historial y responde con el resultado.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El cliente muestra el resultado con una animación.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Flujos alternativos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Token ausente, inválido o expirado: el servidor responde HTTP 401 “Sesión no válida o expirada” y el cliente regresa a la pantalla de inicio de sesión.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Valor vacío o no numérico: el cliente o el servidor informa “Ingrese un valor numérico válido” (HTTP 400).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Unidad no soportada o de otra magnitud: el servidor responde HTTP 400 “Unidad no soportada”.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Valor por debajo del cero absoluto (−273,15 °C / 0 K): HTTP 400 “La temperatura no puede ser menor al cero absoluto”.</w:t>
      </w:r>
    </w:p>
    <w:p>
      <w:pPr>
        <w:pStyle w:val="Heading1"/>
        <w:keepNext/>
        <w:pageBreakBefore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ECUD_CONVERTIR_TIEMPO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continuación se muestra la especificación del caso de uso CU-05: Convertir Tiempo.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10. ECUD — CU-05: Convertir Tiempo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ECUD — CU-05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CONVERTIR TIEMPO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caso de uso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Convertir Tiempo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CU-05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 final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Permite al usuario autenticado convertir un valor de tiempo entre las unidades soportadas: segundos, minutos, horas, días y semanas. La solicitud se envía a POST /api/conversiones con la magnitud “TIEMPO”.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obtiene el valor convertido, redondeado a cuatro decimales, y la conversión queda registrada en su historial.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Autor(es)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Moisés Benalcázar, Wilmer Buestán, Jefferson Masapanta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creación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28/10/2026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modificación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28/10/2026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de sesión (encabezado Authorization: Bearer).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magnitud = TIEMPO.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unidadOrigen y unidadDestino: unidades del catálogo.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valor: número decimal.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ha iniciado sesión y su token no ha expirado.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cliente cargó el catálogo de unidades (GET /api/conversiones/unidades).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Éxito: HTTP 200 con exito = true, el resultado y el mensaje “Conversión exitosa”; se registra en el historial.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Fallo: HTTP 400 o 401 con exito = false y el motivo del error; no se registra en el historial.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incluidos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Validar token; Consultar unidades disponibles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extendidos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Gráfico</w:t>
      </w:r>
    </w:p>
    <w:p>
      <w:pPr>
        <w:keepNext/>
        <w:jc w:val="center"/>
      </w:pPr>
      <w:r>
        <w:drawing>
          <wp:inline distT="0" distB="0" distL="0" distR="0">
            <wp:extent cx="5715000" cy="5669091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PD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6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before="120"/>
        <w:jc w:val="center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Ilustración 6. Diagrama de actividad — CU-05 Convertir Tiempo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 básico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11. Flujo básico — CU-05 Convertir Tiempo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Selecciona la magnitud Tiempo.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Muestra en las listas las unidades de tiempo obtenidas del catálogo.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Selecciona la unidad de origen, la unidad de destino e ingresa el valor.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Presiona “Convertir”.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El cliente envía la petición POST /api/conversiones con el token.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El servidor valida el token y los datos de entrada.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El servidor convierte el valor a la unidad base (segundo) y luego a la unidad destino.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El servidor registra la conversión en el historial y responde con el resultado.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El cliente muestra el resultado con una animación.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Flujos alternativos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Token ausente, inválido o expirado: el servidor responde HTTP 401 “Sesión no válida o expirada” y el cliente regresa a la pantalla de inicio de sesión.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Valor vacío o no numérico: el cliente o el servidor informa “Ingrese un valor numérico válido” (HTTP 400).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Unidad no soportada o de otra magnitud: el servidor responde HTTP 400 “Unidad no soportada”.</w:t>
      </w:r>
    </w:p>
    <w:p>
      <w:pPr>
        <w:pStyle w:val="Heading1"/>
        <w:keepNext/>
        <w:pageBreakBefore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ECUD_CONSULTAR_HISTORIAL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continuación se muestra la especificación del caso de uso CU-06: Consultar historial.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12. ECUD — CU-06: Consultar historial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ECUD — CU-06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CONSULTAR HISTORIAL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caso de uso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Consultar historial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CU-06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 final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Permite al usuario ver las conversiones realizadas durante su sesión mediante GET /api/conversiones/historial.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visualiza la lista de conversiones con fecha, magnitud, unidades, valor y resultado.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Autor(es)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Moisés Benalcázar, Wilmer Buestán, Jefferson Masapanta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creación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28/10/2026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modificación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28/10/2026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de sesión (encabezado Authorization: Bearer).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ha iniciado sesión y su token no ha expirado.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Éxito: HTTP 200 con la lista de conversiones (vacía si aún no hay).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Fallo: HTTP 401 si el token no es válido.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incluidos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Validar token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extendidos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Gráfico</w:t>
      </w:r>
    </w:p>
    <w:p>
      <w:pPr>
        <w:keepNext/>
        <w:jc w:val="center"/>
      </w:pPr>
      <w:r>
        <w:drawing>
          <wp:inline distT="0" distB="0" distL="0" distR="0">
            <wp:extent cx="5715000" cy="5669091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PD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6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before="120"/>
        <w:jc w:val="center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Ilustración 7. Diagrama de actividad — CU-06 Consultar historial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 básico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13. Flujo básico — CU-06 Consultar historial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Selecciona la opción “Historial”.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El cliente envía GET /api/conversiones/historial con el token.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El servidor valida el token y obtiene las conversiones de la sesión.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El servidor responde con la lista ordenada de la más reciente a la más antigua.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El cliente muestra el historial en una tabla o lista.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Flujos alternativos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Sin conversiones: el cliente muestra “Aún no ha realizado conversiones”.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Token inválido o expirado: HTTP 401 y retorno al inicio de sesión.</w:t>
      </w:r>
    </w:p>
    <w:p>
      <w:pPr>
        <w:pStyle w:val="Heading1"/>
        <w:keepNext/>
        <w:pageBreakBefore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ECUD_CERRAR_SESIÓN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continuación se muestra la especificación del caso de uso CU-07: Cerrar sesión.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14. ECUD — CU-07: Cerrar sesión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ECUD — CU-07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CERRAR SESIÓN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caso de uso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Cerrar sesión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CU-07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 final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Permite al usuario terminar su sesión mediante POST /api/auth/logout, invalidando el token en el servidor.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token deja de ser válido y el cliente vuelve a la pantalla de inicio de sesión.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Autor(es)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Moisés Benalcázar, Wilmer Buestán, Jefferson Masapanta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creación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28/10/2026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modificación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28/10/2026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de sesión (encabezado Authorization: Bearer).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usuario tiene una sesión iniciada.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Éxito: HTTP 200 “Sesión cerrada correctamente”; el token se elimina de memoria.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token ya había expirado, el cliente igualmente regresa al inicio de sesión.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incluidos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Validar token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extendidos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Gráfico</w:t>
      </w:r>
    </w:p>
    <w:p>
      <w:pPr>
        <w:keepNext/>
        <w:jc w:val="center"/>
      </w:pPr>
      <w:r>
        <w:drawing>
          <wp:inline distT="0" distB="0" distL="0" distR="0">
            <wp:extent cx="5715000" cy="5101418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PD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0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before="120"/>
        <w:jc w:val="center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Ilustración 8. Diagrama de actividad — CU-07 Cerrar sesión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 básico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15. Flujo básico — CU-07 Cerrar sesión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Selecciona “Cerrar sesión”.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El cliente envía POST /api/auth/logout con el token.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El servidor elimina el token de las sesiones activas.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El servidor confirma el cierre.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El cliente borra el token guardado y muestra la pantalla de inicio de sesión.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Flujos alternativos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Token inexistente o expirado: el servidor responde HTTP 401 y el cliente borra el token local y vuelve al inicio de sesión.</w:t>
      </w:r>
    </w:p>
    <w:p>
      <w:pPr>
        <w:pStyle w:val="Heading1"/>
        <w:keepNext/>
        <w:pageBreakBefore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ECUD_MONITOREAR_SERVIDOR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continuación se muestra la especificación del caso de uso CU-08: Monitorear servidor.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16. ECUD — CU-08: Monitorear servidor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ECUD — CU-08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MONITOREAR SERVIDOR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caso de uso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Monitorear servidor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CU-08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del servidor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Permite al administrador consultar el estado del servidor en el panel web y mediante GET /api/estado.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administrador verifica que el servicio está activo y observa en tiempo real las peticiones de los clientes.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Autor(es)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Moisés Benalcázar, Wilmer Buestán, Jefferson Masapanta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creación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28/10/2026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modificación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28/10/2026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Ninguno (servicio público).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servidor está desplegado en Payara Server.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Postcondiciones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muestran: estado del servicio, hora de inicio, sesiones activas, total de conversiones por magnitud y últimas peticiones con el cliente que las originó.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incluidos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Casos de uso extendidos</w:t>
            </w:r>
          </w:p>
        </w:tc>
        <w:tc>
          <w:tcPr>
            <w:tcW w:type="dxa" w:w="64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Gráfico</w:t>
      </w:r>
    </w:p>
    <w:p>
      <w:pPr>
        <w:keepNext/>
        <w:jc w:val="center"/>
      </w:pPr>
      <w:r>
        <w:drawing>
          <wp:inline distT="0" distB="0" distL="0" distR="0">
            <wp:extent cx="5715000" cy="5669091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PD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6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80" w:before="120"/>
        <w:jc w:val="center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Ilustración 9. Diagrama de actividad — CU-08 Monitorear servidor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 básico</w:t>
      </w:r>
    </w:p>
    <w:p>
      <w:pPr>
        <w:keepNext/>
        <w:spacing w:after="80" w:before="12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Tabla 17. Flujo básico — CU-08 Monitorear servidor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Abre en el navegador la página principal del servidor.</w:t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La página consulta GET /api/estado periódicamente.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El servidor responde con los indicadores y las últimas peticiones.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El panel actualiza los contadores y la lista con animaciones.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Flujos alternativos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Servidor detenido: el panel muestra el indicador “Servicio no disponible”.</w:t>
      </w: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8"/>
        <w:szCs w:val="18"/>
      </w:rPr>
      <w:t xml:space="preserve">GRUPO 1 – NRC 36841     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  <w:jc w:val="right"/>
    </w:pPr>
    <w:r>
      <w:rPr>
        <w:rFonts w:ascii="Arial" w:cs="Arial" w:eastAsia="Arial" w:hAnsi="Arial"/>
        <w:b/>
        <w:bCs/>
        <w:color w:val="595959"/>
        <w:sz w:val="16"/>
        <w:szCs w:val="16"/>
      </w:rPr>
      <w:t xml:space="preserve">ECUD – CONVERSIÓN DE UNIDADES MONSTER – RESTFUL JAVA SIN BDD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3864"/>
      <w:sz w:val="23"/>
      <w:szCs w:val="23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18" Type="http://schemas.openxmlformats.org/officeDocument/2006/relationships/fontTable" Target="fontTable.xml"/><Relationship Id="rIdPD1" Type="http://schemas.openxmlformats.org/officeDocument/2006/relationships/image" Target="media/pd_cv_cu.png"/><Relationship Id="rIdPD2" Type="http://schemas.openxmlformats.org/officeDocument/2006/relationships/image" Target="media/pd_cv_act_iniciar.png"/><Relationship Id="rIdPD3" Type="http://schemas.openxmlformats.org/officeDocument/2006/relationships/image" Target="media/pd_cv_act_convertir.png"/><Relationship Id="rIdMON" Type="http://schemas.openxmlformats.org/officeDocument/2006/relationships/image" Target="media/monster_portada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CASOS DE USO DETALLADO SISTEMA DE CONVERSIÓN DE UNIDADES MONSTER</dc:title>
  <dc:creator>Grupo 1 - NRC 36841</dc:creator>
  <cp:lastModifiedBy>Un-named</cp:lastModifiedBy>
  <cp:revision>1</cp:revision>
  <dcterms:created xsi:type="dcterms:W3CDTF">2026-10-25T23:59:54.848Z</dcterms:created>
  <dcterms:modified xsi:type="dcterms:W3CDTF">2026-10-25T23:59:54.848Z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