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UNIVERSIDAD DE LAS FUERZAS ARMADAS – ESPE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DEPARTAMENTO DE CIENCIAS DE LA COMPUTACIÓN</w:t>
      </w:r>
    </w:p>
    <w:p>
      <w:pPr>
        <w:spacing w:after="36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ARQUITECTURA DE SOFTWARE – NRC 36841 – GRUPO 1</w:t>
      </w:r>
    </w:p>
    <w:p>
      <w:pPr>
        <w:keepNext/>
        <w:jc w:val="center"/>
      </w:pPr>
      <w:r>
        <w:drawing>
          <wp:inline distT="0" distB="0" distL="0" distR="0">
            <wp:extent cx="2190750" cy="14573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360" w:line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Tema</w:t>
      </w:r>
    </w:p>
    <w:p>
      <w:pPr>
        <w:spacing w:after="320" w:before="0" w:line="3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DICCIONARIO DE DATOS — SISTEMA DE CONVERSIÓN DE UNIDADES MONSTER (RESTFUL JAVA SIN BDD)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Autores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BENALCAZAR FARINANGO MOISES SEBASTIAN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BUESTÁN GUAILLAS WILMER OMAR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MASAPANTA GUILCATOMA JEFFERSON SANTIAGO</w:t>
      </w:r>
    </w:p>
    <w:p>
      <w:pPr>
        <w:spacing w:after="40" w:before="280" w:line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Tutor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Ing. Eduardo Mauricio Campaña Ortega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MIS.MDU.CCNA.CCIA.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PhD. (c) Ingeniería de Software PhD. (c) Seguridad Información</w:t>
      </w:r>
    </w:p>
    <w:p>
      <w:pPr>
        <w:spacing w:after="40" w:before="280" w:line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Fecha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28/10/2026</w:t>
      </w:r>
    </w:p>
    <w:p>
      <w:pPr>
        <w:sectPr>
          <w:pgSz w:w="11906" w:h="16838" w:orient="portrait"/>
          <w:pgMar w:top="1200" w:right="1440" w:bottom="1200" w:left="1440" w:header="708" w:footer="708" w:gutter="0"/>
          <w:pgBorders w:offsetFrom="page">
            <w:top w:val="dashDotStroked" w:color="4472C4" w:sz="24" w:space="24"/>
            <w:left w:val="dashDotStroked" w:color="4472C4" w:sz="24" w:space="24"/>
            <w:bottom w:val="dashDotStroked" w:color="4472C4" w:sz="24" w:space="24"/>
            <w:right w:val="dashDotStroked" w:color="4472C4" w:sz="24" w:space="24"/>
          </w:pgBorders>
          <w:pgNumType/>
          <w:docGrid w:linePitch="360"/>
        </w:sectPr>
      </w:pPr>
    </w:p>
    <w:p>
      <w:pPr>
        <w:spacing w:after="120" w:before="0" w:line="30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ÍNDICE DE CONTENIDOS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 w:line="300"/>
        <w:jc w:val="both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Nota: si el índice aparece vacío, haga clic derecho sobre él → Actualizar campo → Actualizar toda la tabla.</w:t>
      </w:r>
    </w:p>
    <w:p>
      <w:r>
        <w:br w:type="page"/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ÍNDICE DE ILUSTRACIONES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1. Estructuras de datos del sistema de conversión de unidades</w:t>
      </w:r>
    </w:p>
    <w:p>
      <w:pPr>
        <w:spacing w:after="120" w:before="200" w:line="30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ÍNDICE DE TABLAS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1. Características del almacenamiento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2. Estructuras de datos en memoria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3. Enumeración Magnitud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4. Enumeración Unidad (18 unidades)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5. Campos de SolicitudLogin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6. Campos de SolicitudConversion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7. Campos de RespuestaApi&lt;T&gt;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8. Campos de RespuestaLogin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9. Campos de ResultadoConversion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10. Campos de RegistroConversion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11. Campos de MagnitudCatalogo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12. Campos de UnidadCatalogo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13. Campos de EstadoServidor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14. Campos de EventoServidor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15. Campos de Sesion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16. Endpoints y objetos de datos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Introducción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El sistema de Conversión de Unidades Monster (servicio RESTful en Java sobre Payara con clientes de consola, escritorio, web y Android) no utiliza base de datos. Toda la información vive en memoria del servidor mientras está en ejecución, o son catálogos fijos definidos en el código como enumeraciones de Java.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Por eso este diccionario no describe tablas, sino los datos que maneja el sistema: catálogos, objetos JSON que se intercambian con los clientes y estructuras que el servidor mantiene en memoria. Como no hay base de datos, no aplica el modelo entidad–relación (ver 02. MER/LEER.txt).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Objetivo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Documentar cada dato del sistema (nombre, tipo, obligatoriedad, validación, ejemplo y dónde se usa) para que el equipo y el docente entiendan qué recibe y qué devuelve el servicio sin leer el código.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Almacenamiento de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Ninguna (proyecto SIN BDD)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Memoria del servidor; los datos se pierden al reiniciar Payara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 de intercambio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(UTF-8) sobre HTTP, contexto /api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Credenciales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monster; clave guardada como hash SHA-256 en el código, nunca en texto plano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Concurrencia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ConcurrentHashMap, ConcurrentLinkedDeque y AtomicLong (varios clientes a la vez)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ec.edu.monster.modelo (objetos) y ec.edu.monster.servicio (almacenes)</w:t>
            </w:r>
          </w:p>
        </w:tc>
      </w:tr>
    </w:tbl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1. Características del almacenamiento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Estructuras en memoria del servidor (equivalen a las «tablas» del sistema):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2300"/>
        <w:gridCol w:w="1800"/>
        <w:gridCol w:w="1626"/>
      </w:tblGrid>
      <w:tr>
        <w:trPr>
          <w:tblHeader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Estructura</w:t>
            </w:r>
          </w:p>
        </w:tc>
        <w:tc>
          <w:tcPr>
            <w:tcW w:type="dxa" w:w="1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 → valor</w:t>
            </w:r>
          </w:p>
        </w:tc>
        <w:tc>
          <w:tcPr>
            <w:tcW w:type="dxa" w:w="1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Vigencia / límite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1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ServicioAutenticacion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Map&lt;String,String&gt; (inmutable)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→ hash SHA-256</w:t>
            </w:r>
          </w:p>
        </w:tc>
        <w:tc>
          <w:tcPr>
            <w:tcW w:type="dxa" w:w="1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Fija en el código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sesiones</w:t>
            </w:r>
          </w:p>
        </w:tc>
        <w:tc>
          <w:tcPr>
            <w:tcW w:type="dxa" w:w="1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ServicioAutenticacion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ConcurrentHashMap&lt;String,Sesion&gt;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→ Sesion</w:t>
            </w:r>
          </w:p>
        </w:tc>
        <w:tc>
          <w:tcPr>
            <w:tcW w:type="dxa" w:w="1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 por sesión; se elimina en logout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historial</w:t>
            </w:r>
          </w:p>
        </w:tc>
        <w:tc>
          <w:tcPr>
            <w:tcW w:type="dxa" w:w="1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ServicioHistorial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ConcurrentHashMap&lt;String,List&lt;RegistroConversion&gt;&gt;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→ conversiones de esa sesión</w:t>
            </w:r>
          </w:p>
        </w:tc>
        <w:tc>
          <w:tcPr>
            <w:tcW w:type="dxa" w:w="1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Mientras corre el servidor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eventos</w:t>
            </w:r>
          </w:p>
        </w:tc>
        <w:tc>
          <w:tcPr>
            <w:tcW w:type="dxa" w:w="1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ServicioHistorial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ConcurrentLinkedDeque&lt;EventoServidor&gt;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cola de eventos</w:t>
            </w:r>
          </w:p>
        </w:tc>
        <w:tc>
          <w:tcPr>
            <w:tcW w:type="dxa" w:w="1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Máximo 40 (se descartan los más antiguos)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porMagnitud</w:t>
            </w:r>
          </w:p>
        </w:tc>
        <w:tc>
          <w:tcPr>
            <w:tcW w:type="dxa" w:w="1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ServicioHistorial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ConcurrentHashMap&lt;String,AtomicLong&gt;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magnitud → contador</w:t>
            </w:r>
          </w:p>
        </w:tc>
        <w:tc>
          <w:tcPr>
            <w:tcW w:type="dxa" w:w="1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Mientras corre el servidor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porCliente</w:t>
            </w:r>
          </w:p>
        </w:tc>
        <w:tc>
          <w:tcPr>
            <w:tcW w:type="dxa" w:w="1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ServicioHistorial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ConcurrentHashMap&lt;String,AtomicLong&gt;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→ contador</w:t>
            </w:r>
          </w:p>
        </w:tc>
        <w:tc>
          <w:tcPr>
            <w:tcW w:type="dxa" w:w="1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Mientras corre el servidor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totalConversiones / totalPeticiones</w:t>
            </w:r>
          </w:p>
        </w:tc>
        <w:tc>
          <w:tcPr>
            <w:tcW w:type="dxa" w:w="1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ServicioHistorial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AtomicLong</w:t>
            </w:r>
          </w:p>
        </w:tc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contador</w:t>
            </w:r>
          </w:p>
        </w:tc>
        <w:tc>
          <w:tcPr>
            <w:tcW w:type="dxa" w:w="1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Mientras corre el servidor</w:t>
            </w:r>
          </w:p>
        </w:tc>
      </w:tr>
    </w:tbl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2. Estructuras de datos en memoria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Diagrama de estructuras de datos</w:t>
      </w:r>
    </w:p>
    <w:p>
      <w:pPr>
        <w:keepNext/>
        <w:jc w:val="center"/>
      </w:pPr>
      <w:r>
        <w:drawing>
          <wp:inline distT="0" distB="0" distL="0" distR="0">
            <wp:extent cx="5715000" cy="690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1. Estructuras de datos del sistema de conversión de unidades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Catálogos (enumeraciones)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5.1. Magnitud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 base</w:t>
            </w:r>
          </w:p>
        </w:tc>
        <w:tc>
          <w:tcPr>
            <w:tcW w:type="dxa" w:w="22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N.º unidades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LONGITUD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Longitud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metro</w:t>
            </w:r>
          </w:p>
        </w:tc>
        <w:tc>
          <w:tcPr>
            <w:tcW w:type="dxa" w:w="22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MASA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Masa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kilogramo</w:t>
            </w:r>
          </w:p>
        </w:tc>
        <w:tc>
          <w:tcPr>
            <w:tcW w:type="dxa" w:w="22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grado Celsius</w:t>
            </w:r>
          </w:p>
        </w:tc>
        <w:tc>
          <w:tcPr>
            <w:tcW w:type="dxa" w:w="22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segundo</w:t>
            </w:r>
          </w:p>
        </w:tc>
        <w:tc>
          <w:tcPr>
            <w:tcW w:type="dxa" w:w="22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3. Enumeración Magnitud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5.2. Unidad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Cada unidad pertenece a una magnitud y tiene un factor respecto a la unidad base. La conversión es valor × factor(origen) ÷ factor(destino).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100"/>
        <w:gridCol w:w="10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Magnitud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 a base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CENTIMETRO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LONGITUD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Centímetros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LONGITUD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Metros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(base)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KILOMETRO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LONGITUD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Kilómetros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km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1000.0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PIE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LONGITUD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Pies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ft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0.3048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MILLA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LONGITUD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Millas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1609.344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GRAMO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MASA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Gramos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KILOGRAMO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MASA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Kilogramos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kg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(base)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ONZA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MASA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Onzas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oz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0.028349523125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LIBRA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MASA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Libras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lb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0.45359237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QUINTAL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MASA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Quintales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qq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45.359237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CELSIUS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Grados Celsius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fórmula (base)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FAHRENHEIT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Grados Fahrenheit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°F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fórmula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KELVIN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Kelvin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fórmula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SEGUNDO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Segundos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(base)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MINUTO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Minutos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60.0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HORA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Horas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3600.0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Días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86400.0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Semanas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</w:t>
            </w:r>
          </w:p>
        </w:tc>
        <w:tc>
          <w:tcPr>
            <w:tcW w:type="dxa" w:w="2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604800.0</w:t>
            </w:r>
          </w:p>
        </w:tc>
      </w:tr>
    </w:tbl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4. Enumeración Unidad (18 unidades)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La temperatura no usa factor sino fórmulas, pasando por Celsius: °F = °C × 9/5 + 32 y K = °C + 273,15. Se rechaza cualquier valor menor al cero absoluto (-273,15 °C).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Objetos de datos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6.1. SolicitudLogin (entrada)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Cuerpo de POST /api/auth/login.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850"/>
        <w:gridCol w:w="800"/>
        <w:gridCol w:w="3026"/>
        <w:gridCol w:w="1400"/>
      </w:tblGrid>
      <w:tr>
        <w:trPr>
          <w:tblHeader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Oblig.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de usuario. No puede estar vacío.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monster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clave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 en texto plano (viaja solo en la petición); el servidor la compara por su hash SHA-256.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monster69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de cliente que se conecta; se guarda en mayúsculas o DESCONOCIDO si viene vacío.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ESCRITORIO</w:t>
            </w:r>
          </w:p>
        </w:tc>
      </w:tr>
    </w:tbl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5. Campos de SolicitudLogin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6.2. SolicitudConversion (entrada)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Cuerpo de POST /api/conversiones (requiere token).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850"/>
        <w:gridCol w:w="800"/>
        <w:gridCol w:w="3026"/>
        <w:gridCol w:w="1400"/>
      </w:tblGrid>
      <w:tr>
        <w:trPr>
          <w:tblHeader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Oblig.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magnitud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LONGITUD, MASA, TEMPERATURA o TIEMPO.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LONGITUD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origen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la unidad de origen; debe pertenecer a la magnitud.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KILOMETRO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destino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la unidad de destino; debe pertenecer a la magnitud.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MILLA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numérico a convertir. En temperatura no puede ser menor al cero absoluto (-273,15 °C / 0 K).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6. Campos de SolicitudConversion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6.3. RespuestaApi&lt;T&gt; (salida)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Envoltorio de todas las respuestas del servicio.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850"/>
        <w:gridCol w:w="800"/>
        <w:gridCol w:w="3026"/>
        <w:gridCol w:w="1400"/>
      </w:tblGrid>
      <w:tr>
        <w:trPr>
          <w:tblHeader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Oblig.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exito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si la operación se realizó.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mensaje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Mensaje para mostrar al usuario (también los errores).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Conversión realizada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 / array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de la operación (uno de los objetos de este documento) o null.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… }</w:t>
            </w:r>
          </w:p>
        </w:tc>
      </w:tr>
    </w:tbl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7. Campos de RespuestaApi&lt;T&gt;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6.4. RespuestaLogin (salida)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Datos de POST /api/auth/login.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850"/>
        <w:gridCol w:w="800"/>
        <w:gridCol w:w="3026"/>
        <w:gridCol w:w="1400"/>
      </w:tblGrid>
      <w:tr>
        <w:trPr>
          <w:tblHeader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Oblig.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sesión: 32 bytes aleatorios (SecureRandom) en hexadecimal, 64 caracteres. Se envía como Authorization: Bearer.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9f3c…a1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autenticado.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monster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expira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de expiración (yyyy-MM-dd HH:mm:ss).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2026-10-28 10:30:00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minutosVigencia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Duración de la sesión (30 minutos).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</w:tbl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8. Campos de RespuestaLogin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6.5. ResultadoConversion (salida)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Datos de POST /api/conversiones.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850"/>
        <w:gridCol w:w="800"/>
        <w:gridCol w:w="3026"/>
        <w:gridCol w:w="1400"/>
      </w:tblGrid>
      <w:tr>
        <w:trPr>
          <w:tblHeader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Oblig.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magnitud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magnitud.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Longitud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origen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unidad de origen.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Kilómetros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destino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unidad de destino.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Millas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simboloOrigen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Símbolo de la unidad de origen.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simboloDestino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Símbolo de la unidad de destino.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ingresado.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convertido.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6.2137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detalle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 legible de la conversión.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km = 6.2137 mi</w:t>
            </w:r>
          </w:p>
        </w:tc>
      </w:tr>
    </w:tbl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9. Campos de ResultadoConversion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6.6. RegistroConversion (salida)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Cada elemento de GET /api/conversiones/historial.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850"/>
        <w:gridCol w:w="800"/>
        <w:gridCol w:w="3026"/>
        <w:gridCol w:w="1400"/>
      </w:tblGrid>
      <w:tr>
        <w:trPr>
          <w:tblHeader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Oblig.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de la conversión (yyyy-MM-dd HH:mm:ss).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2026-10-28 10:05:12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la realizó.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monster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desde el que se hizo.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conversion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ResultadoConversion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completo de la conversión.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… }</w:t>
            </w:r>
          </w:p>
        </w:tc>
      </w:tr>
    </w:tbl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10. Campos de RegistroConversion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6.7. MagnitudCatalogo (salida)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Cada elemento de GET /api/conversiones/unidades (llena las listas de los clientes).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850"/>
        <w:gridCol w:w="800"/>
        <w:gridCol w:w="3026"/>
        <w:gridCol w:w="1400"/>
      </w:tblGrid>
      <w:tr>
        <w:trPr>
          <w:tblHeader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Oblig.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codigo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la magnitud.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para mostrar.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unidadBase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 base de la magnitud.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kilogramo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unidades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List&lt;UnidadCatalogo&gt;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Unidades de la magnitud.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… ]</w:t>
            </w:r>
          </w:p>
        </w:tc>
      </w:tr>
    </w:tbl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11. Campos de MagnitudCatalogo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6.8. UnidadCatalogo (salida)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Unidad dentro de MagnitudCatalogo.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850"/>
        <w:gridCol w:w="800"/>
        <w:gridCol w:w="3026"/>
        <w:gridCol w:w="1400"/>
      </w:tblGrid>
      <w:tr>
        <w:trPr>
          <w:tblHeader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Oblig.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codigo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la unidad.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para mostrar.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simbolo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Símbolo.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lb</w:t>
            </w:r>
          </w:p>
        </w:tc>
      </w:tr>
    </w:tbl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12. Campos de UnidadCatalogo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6.9. EstadoServidor (salida)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Datos de GET /api/estado (panel de monitoreo del servidor).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850"/>
        <w:gridCol w:w="800"/>
        <w:gridCol w:w="3026"/>
        <w:gridCol w:w="1400"/>
      </w:tblGrid>
      <w:tr>
        <w:trPr>
          <w:tblHeader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Oblig.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Estado del servicio.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en que arrancó el servidor.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2026-10-28 08:00:00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segundosActivo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 en funcionamiento.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sesionesActivas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Sesiones con token vigente.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totalConversiones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Conversiones exitosas desde el arranque.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totalPeticiones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Peticiones atendidas.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conversionesPorMagnitud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Map&lt;String,Long&gt;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Contador por magnitud.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{"Longitud": 10}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peticionesPorCliente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Map&lt;String,Long&gt;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Contador por cliente.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{"WEB": 30}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ultimosEventos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List&lt;EventoServidor&gt;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Últimos 15 eventos.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… ]</w:t>
            </w:r>
          </w:p>
        </w:tc>
      </w:tr>
    </w:tbl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13. Campos de EstadoServidor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6.10. EventoServidor (salida)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Evento de la bitácora en memoria (máximo 40 guardados).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850"/>
        <w:gridCol w:w="800"/>
        <w:gridCol w:w="3026"/>
        <w:gridCol w:w="1400"/>
      </w:tblGrid>
      <w:tr>
        <w:trPr>
          <w:tblHeader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Oblig.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hora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Hora del evento (HH:mm:ss).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10:05:12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LOGIN, LOGOUT, CONVERSION, HISTORIAL o RECHAZO (petición sin token válido).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que originó el evento.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detalle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del evento.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Longitud: 10 km = 6.2137 mi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exito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la operación fue exitosa.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</w:tbl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14. Campos de EventoServidor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6.11. Sesion (interna)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Sesión guardada en el servidor por cada login (no se envía completa al cliente).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850"/>
        <w:gridCol w:w="800"/>
        <w:gridCol w:w="3026"/>
        <w:gridCol w:w="1400"/>
      </w:tblGrid>
      <w:tr>
        <w:trPr>
          <w:tblHeader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Oblig.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validación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64 caracteres hexadecimales; clave del mapa de sesiones.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9f3c…a1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autenticado.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monster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normalizado en mayúsculas.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inicio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Momento del login.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2026-10-28T10:00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expira</w:t>
            </w:r>
          </w:p>
        </w:tc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8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0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inicio + 30 minutos; después el token se rechaza (HTTP 401).</w:t>
            </w:r>
          </w:p>
        </w:tc>
        <w:tc>
          <w:tcPr>
            <w:tcW w:type="dxa" w:w="1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2026-10-28T10:30</w:t>
            </w:r>
          </w:p>
        </w:tc>
      </w:tr>
    </w:tbl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15. Campos de Sesion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Endpoints y datos que usan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00"/>
        <w:gridCol w:w="2300"/>
        <w:gridCol w:w="2926"/>
      </w:tblGrid>
      <w:tr>
        <w:trPr>
          <w:tblHeader/>
        </w:trP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y ruta</w:t>
            </w:r>
          </w:p>
        </w:tc>
        <w:tc>
          <w:tcPr>
            <w:tcW w:type="dxa" w:w="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Recibe</w:t>
            </w:r>
          </w:p>
        </w:tc>
        <w:tc>
          <w:tcPr>
            <w:tcW w:type="dxa" w:w="29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Devuelve (en datos)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</w:t>
            </w:r>
          </w:p>
        </w:tc>
        <w:tc>
          <w:tcPr>
            <w:tcW w:type="dxa" w:w="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endpoints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SolicitudLogin</w:t>
            </w:r>
          </w:p>
        </w:tc>
        <w:tc>
          <w:tcPr>
            <w:tcW w:type="dxa" w:w="29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RespuestaLogin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/api/auth/logout</w:t>
            </w:r>
          </w:p>
        </w:tc>
        <w:tc>
          <w:tcPr>
            <w:tcW w:type="dxa" w:w="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/api/conversiones/unidades</w:t>
            </w:r>
          </w:p>
        </w:tc>
        <w:tc>
          <w:tcPr>
            <w:tcW w:type="dxa" w:w="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List&lt;MagnitudCatalogo&gt;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/api/conversiones</w:t>
            </w:r>
          </w:p>
        </w:tc>
        <w:tc>
          <w:tcPr>
            <w:tcW w:type="dxa" w:w="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SolicitudConversion</w:t>
            </w:r>
          </w:p>
        </w:tc>
        <w:tc>
          <w:tcPr>
            <w:tcW w:type="dxa" w:w="29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ResultadoConversion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/api/conversiones/historial</w:t>
            </w:r>
          </w:p>
        </w:tc>
        <w:tc>
          <w:tcPr>
            <w:tcW w:type="dxa" w:w="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List&lt;RegistroConversion&gt;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/api/estado</w:t>
            </w:r>
          </w:p>
        </w:tc>
        <w:tc>
          <w:tcPr>
            <w:tcW w:type="dxa" w:w="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EstadoServidor</w:t>
            </w:r>
          </w:p>
        </w:tc>
      </w:tr>
    </w:tbl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16. Endpoints y objetos de datos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Reglas de validación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Usuario y clave obligatorios; la clave se compara por hash SHA-256 (HTTP 401 si no coincide).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Las operaciones de conversión exigen la cabecera Authorization: Bearer &lt;token&gt; vigente (HTTP 401 si falta o expiró).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La magnitud y las unidades deben existir y las dos unidades deben pertenecer a la misma magnitud (HTTP 400).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El valor debe ser numérico; en temperatura no puede bajar del cero absoluto.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El historial es por sesión: cada token ve solo sus propias conversiones.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Borders w:offsetFrom="page">
        <w:top w:val="dashDotStroked" w:color="4472C4" w:sz="24" w:space="24"/>
        <w:left w:val="dashDotStroked" w:color="4472C4" w:sz="24" w:space="24"/>
        <w:bottom w:val="dashDotStroked" w:color="4472C4" w:sz="24" w:space="24"/>
        <w:right w:val="dashDotStroked" w:color="4472C4" w:sz="24" w:space="24"/>
      </w:pgBorders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t xml:space="preserve">GRUPO 1 – NRC 36841    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jc w:val="right"/>
    </w:pPr>
    <w:r>
      <w:rPr>
        <w:rFonts w:ascii="Arial" w:cs="Arial" w:eastAsia="Arial" w:hAnsi="Arial"/>
        <w:b/>
        <w:bCs/>
        <w:color w:val="595959"/>
        <w:sz w:val="16"/>
        <w:szCs w:val="16"/>
      </w:rPr>
      <w:t xml:space="preserve">DICCIONARIO DE DATOS – CONVERSIÓN DE UNIDADES – RESTFUL JAVA SIN BDD – GR01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3"/>
      <w:szCs w:val="23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3984755513bbf27f998104287831633793905c7.png"/><Relationship Id="rId10" Type="http://schemas.openxmlformats.org/officeDocument/2006/relationships/image" Target="media/74baa973c86f2ed1dca565a5557d30f7b2d3a9d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— SISTEMA DE CONVERSIÓN DE UNIDADES MONSTER (RESTFUL JAVA SIN BDD)</dc:title>
  <dc:creator>Grupo 1 - NRC 36841</dc:creator>
  <cp:lastModifiedBy>Un-named</cp:lastModifiedBy>
  <cp:revision>1</cp:revision>
  <dcterms:created xsi:type="dcterms:W3CDTF">2026-10-26T20:02:16.442Z</dcterms:created>
  <dcterms:modified xsi:type="dcterms:W3CDTF">2026-10-26T20:02:16.442Z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