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Pérgola em cumaru para cotação</w:t>
      </w:r>
    </w:p>
    <w:p>
      <w:r>
        <w:rPr>
          <w:b/>
          <w:sz w:val="18"/>
        </w:rPr>
        <w:t>ROOFTOP  |  4,50 × 3,00 m  |  13,50 m²  |  REVISÃO 04  |  29/10/2026</w:t>
      </w:r>
    </w:p>
    <w:p>
      <w:r>
        <w:t>Alternativa com quatro pilares, dois livres e dois junto ao R02, e travessas mais leves e próximas. Solicitar preços e disponibilidade para as peças abaixo, com dimensões finais após aparelhamento.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720840" cy="3057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ustracao-pergo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05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Quantitativo preliminar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"/>
        <w:gridCol w:w="3715"/>
        <w:gridCol w:w="619"/>
        <w:gridCol w:w="2736"/>
        <w:gridCol w:w="2736"/>
      </w:tblGrid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333333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9"/>
              </w:rPr>
              <w:t>Ref.</w:t>
            </w:r>
          </w:p>
        </w:tc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333333"/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Peça</w:t>
            </w:r>
          </w:p>
        </w:tc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333333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9"/>
              </w:rPr>
              <w:t>Qtd.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333333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9"/>
              </w:rPr>
              <w:t>Seção final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333333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9"/>
              </w:rPr>
              <w:t>Comprimento unit.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9"/>
              </w:rPr>
              <w:t>Pilares</w:t>
            </w:r>
          </w:p>
        </w:tc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15 × 15 cm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3,00 m*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V</w:t>
            </w:r>
          </w:p>
        </w:tc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left"/>
            </w:pPr>
            <w:r>
              <w:rPr>
                <w:b w:val="0"/>
                <w:sz w:val="19"/>
              </w:rPr>
              <w:t>Vigas principais</w:t>
            </w:r>
          </w:p>
        </w:tc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8 × 25 cm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4,50 m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T</w:t>
            </w:r>
          </w:p>
        </w:tc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9"/>
              </w:rPr>
              <w:t>Travessas internas</w:t>
            </w:r>
          </w:p>
        </w:tc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5 × 12 cm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3,00 m</w:t>
            </w:r>
          </w:p>
        </w:tc>
      </w:tr>
      <w:tr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E</w:t>
            </w:r>
          </w:p>
        </w:tc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left"/>
            </w:pPr>
            <w:r>
              <w:rPr>
                <w:b w:val="0"/>
                <w:sz w:val="19"/>
              </w:rPr>
              <w:t>Travessas de extremidade</w:t>
            </w:r>
          </w:p>
        </w:tc>
        <w:tc>
          <w:tcPr>
            <w:tcW w:type="dxa" w:w="6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8 × 20 cm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3F4F2"/>
          </w:tcPr>
          <w:p>
            <w:pPr>
              <w:spacing w:after="0" w:before="0"/>
              <w:jc w:val="center"/>
            </w:pPr>
            <w:r>
              <w:rPr>
                <w:b w:val="0"/>
                <w:sz w:val="19"/>
              </w:rPr>
              <w:t>3,00 m</w:t>
            </w:r>
          </w:p>
        </w:tc>
      </w:tr>
    </w:tbl>
    <w:p>
      <w:pPr>
        <w:spacing w:before="100"/>
      </w:pPr>
      <w:r>
        <w:rPr>
          <w:b/>
          <w:sz w:val="18"/>
        </w:rPr>
        <w:t>22 peças  |  Volume geométrico líquido: 0,798 m³  |  Reserva comercial de 10–15%: 0,88–0,92 m³</w:t>
      </w:r>
    </w:p>
    <w:p>
      <w:r>
        <w:rPr>
          <w:sz w:val="18"/>
        </w:rPr>
        <w:t>Nas vigas e travessas, seção = largura × altura vertical. *Pilares de 3,00 m para cotação de estoque; altura livre e comprimentos de corte ainda não definidos.</w:t>
      </w:r>
    </w:p>
    <w:p>
      <w:r>
        <w:rPr>
          <w:sz w:val="18"/>
        </w:rPr>
        <w:t>Espaçamento: 16 linhas transversais no total, sendo 14 internas e 2 extremidades. Aproximadamente 30 cm entre eixos e 25 cm livres entre as internas; ajustar no detalhamento final.</w:t>
      </w:r>
    </w:p>
    <w:p>
      <w:r>
        <w:rPr>
          <w:b/>
          <w:sz w:val="22"/>
        </w:rPr>
        <w:t>A confirmar na proposta comercial</w:t>
      </w:r>
    </w:p>
    <w:p>
      <w:r>
        <w:rPr>
          <w:sz w:val="18"/>
        </w:rPr>
        <w:t>Disponibilidade, dimensões finais, comprimentos de estoque e condição de secagem da madeira. Discriminar ferragens, bases, contraventamentos, usinagem, acabamento, transporte, içamento e montagem. Não considerar meia-madeira profunda nas vigas principais.</w:t>
      </w:r>
    </w:p>
    <w:p>
      <w:r>
        <w:rPr>
          <w:b/>
          <w:sz w:val="20"/>
        </w:rPr>
        <w:t>ALTERNATIVA PARA COTAÇÃO — NÃO LIBERA CORTE OU MONTAGEM</w:t>
      </w:r>
    </w:p>
    <w:p>
      <w:r>
        <w:rPr>
          <w:sz w:val="18"/>
        </w:rPr>
        <w:t>Seções sujeitas à validação estrutural, incluindo parreira adulta molhada e frutos, vento, estabilidade, ligações, bases e capacidade da laje. Ilustração sem detalhes executivos de fixação.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