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80"/>
      </w:pPr>
      <w:r>
        <w:rPr>
          <w:rFonts w:ascii="Arial" w:hAnsi="Arial"/>
          <w:b/>
          <w:sz w:val="32"/>
          <w:color w:val="17365D"/>
        </w:rPr>
        <w:t>Ejercicio 2.2 · Construcción para la verificación</w:t>
      </w:r>
    </w:p>
    <w:p>
      <w:pPr>
        <w:jc w:val="center"/>
        <w:spacing w:after="40"/>
      </w:pPr>
      <w:r>
        <w:rPr>
          <w:rFonts w:ascii="Arial" w:hAnsi="Arial"/>
          <w:b/>
          <w:sz w:val="25"/>
        </w:rPr>
        <w:t>Ficha de operación 1 — LicitacionesUV</w:t>
      </w:r>
    </w:p>
    <w:p>
      <w:pPr>
        <w:jc w:val="center"/>
        <w:spacing w:after="200"/>
      </w:pPr>
      <w:r>
        <w:rPr>
          <w:rFonts w:ascii="Arial" w:hAnsi="Arial"/>
          <w:sz w:val="20"/>
          <w:color w:val="52677F"/>
        </w:rPr>
        <w:t>Contrato propuesto para el filtrado de licitaciones</w:t>
      </w:r>
    </w:p>
    <w:tbl>
      <w:tblPr>
        <w:tblW w:w="10000" w:type="dxa"/>
        <w:tblBorders>
          <w:top w:val="single" w:sz="5" w:color="AAB7C4"/>
          <w:left w:val="single" w:sz="5" w:color="AAB7C4"/>
          <w:bottom w:val="single" w:sz="5" w:color="AAB7C4"/>
          <w:right w:val="single" w:sz="5" w:color="AAB7C4"/>
          <w:insideH w:val="single" w:sz="4" w:color="C8D1DA"/>
          <w:insideV w:val="single" w:sz="4" w:color="C8D1DA"/>
        </w:tblBorders>
        <w:tblLayout w:type="fixed"/>
      </w:tblPr>
      <w:tblGrid>
        <w:gridCol w:w="2400"/>
        <w:gridCol w:w="7600"/>
      </w:tblGrid>
      <w:tr>
        <w:tc>
          <w:tcPr>
            <w:tcW w:w="2400" w:type="dxa"/>
            <w:shd w:val="clear" w:fill="2434341"/>
          </w:tcPr>
          <w:p>
            <w:pPr>
              <w:spacing w:after="80"/>
            </w:pPr>
            <w:r>
              <w:rPr>
                <w:rFonts w:ascii="Arial" w:hAnsi="Arial"/>
                <w:sz w:val="19"/>
                <w:b/>
                <w:color w:val="FFFFFF"/>
              </w:rPr>
              <w:r>
                <w:t xml:space="preserve">Elemento</w:t>
              </w:r>
            </w:r>
          </w:p>
        </w:tc>
        <w:tc>
          <w:tcPr>
            <w:tcW w:w="7600" w:type="dxa"/>
            <w:shd w:val="clear" w:fill="2434341"/>
          </w:tcPr>
          <w:p>
            <w:pPr>
              <w:spacing w:after="80"/>
            </w:pPr>
            <w:r>
              <w:rPr>
                <w:rFonts w:ascii="Arial" w:hAnsi="Arial"/>
                <w:sz w:val="19"/>
                <w:b/>
                <w:color w:val="FFFFFF"/>
              </w:rPr>
              <w:r>
                <w:t xml:space="preserve">Registro de la operación</w:t>
              </w:r>
            </w:r>
          </w:p>
        </w:tc>
      </w:tr>
      <w:tr>
        <w:tc>
          <w:tcPr>
            <w:tcW w:w="2400" w:type="dxa"/>
            <w:shd w:val="clear" w:fill="E6EDF5"/>
          </w:tcPr>
          <w:p>
            <w:pPr>
              <w:spacing w:after="80"/>
            </w:pPr>
            <w:r>
              <w:rPr>
                <w:rFonts w:ascii="Arial" w:hAnsi="Arial"/>
                <w:sz w:val="19"/>
                <w:b/>
              </w:rPr>
              <w:r>
                <w:t xml:space="preserve">Funcionalidad y operación</w:t>
              </w:r>
            </w:r>
          </w:p>
        </w:tc>
        <w:tc>
          <w:tcPr>
            <w:tcW w:w="7600" w:type="dxa"/>
          </w:tcPr>
          <w:p>
            <w:pPr>
              <w:spacing w:after="80"/>
            </w:pPr>
            <w:r>
              <w:rPr>
                <w:rFonts w:ascii="Arial" w:hAnsi="Arial"/>
                <w:sz w:val="19"/>
              </w:rPr>
              <w:r>
                <w:t xml:space="preserve">Filtrar licitaciones por palabra clave, región y tipo. Módulo y firma: src/features/licitaciones/licitacionFilters.js — filterLicitaciones(licitaciones, filters). Se utiliza desde LicitacionesExplorerPage.jsx.</w:t>
              </w:r>
            </w:r>
          </w:p>
        </w:tc>
      </w:tr>
      <w:tr>
        <w:tc>
          <w:tcPr>
            <w:tcW w:w="2400" w:type="dxa"/>
            <w:shd w:val="clear" w:fill="E6EDF5"/>
          </w:tcPr>
          <w:p>
            <w:pPr>
              <w:spacing w:after="80"/>
            </w:pPr>
            <w:r>
              <w:rPr>
                <w:rFonts w:ascii="Arial" w:hAnsi="Arial"/>
                <w:sz w:val="19"/>
                <w:b/>
              </w:rPr>
              <w:r>
                <w:t xml:space="preserve">Propósito</w:t>
              </w:r>
            </w:r>
          </w:p>
        </w:tc>
        <w:tc>
          <w:tcPr>
            <w:tcW w:w="7600" w:type="dxa"/>
          </w:tcPr>
          <w:p>
            <w:pPr>
              <w:spacing w:after="80"/>
            </w:pPr>
            <w:r>
              <w:rPr>
                <w:rFonts w:ascii="Arial" w:hAnsi="Arial"/>
                <w:sz w:val="19"/>
              </w:rPr>
              <w:r>
                <w:t xml:space="preserve">Devolver al explorador la lista de licitaciones que coincide con los filtros activos, para que el usuario encuentre convocatorias relevantes.</w:t>
              </w:r>
            </w:r>
          </w:p>
        </w:tc>
      </w:tr>
      <w:tr>
        <w:tc>
          <w:tcPr>
            <w:tcW w:w="2400" w:type="dxa"/>
            <w:shd w:val="clear" w:fill="E6EDF5"/>
          </w:tcPr>
          <w:p>
            <w:pPr>
              <w:spacing w:after="80"/>
            </w:pPr>
            <w:r>
              <w:rPr>
                <w:rFonts w:ascii="Arial" w:hAnsi="Arial"/>
                <w:sz w:val="19"/>
                <w:b/>
              </w:rPr>
              <w:r>
                <w:t xml:space="preserve">Precondiciones</w:t>
              </w:r>
            </w:r>
          </w:p>
        </w:tc>
        <w:tc>
          <w:tcPr>
            <w:tcW w:w="7600" w:type="dxa"/>
          </w:tcPr>
          <w:p>
            <w:pPr>
              <w:spacing w:after="80"/>
            </w:pPr>
            <w:r>
              <w:rPr>
                <w:rFonts w:ascii="Arial" w:hAnsi="Arial"/>
                <w:sz w:val="19"/>
              </w:rPr>
              <w:r>
                <w:t xml:space="preserve">1. licitaciones debe ser un arreglo de objetos de licitación; cada objeto debe tener title, region y type como texto.</w:t>
              </w:r>
              <w:r>
                <w:br/>
              </w:r>
              <w:r>
                <w:t xml:space="preserve">2. filters debe ser un objeto. keyword, region y tipo son opcionales; cuando se proporcionan deben ser texto. Un filtro vacío equivale a no aplicar ese criterio.</w:t>
              </w:r>
            </w:r>
          </w:p>
        </w:tc>
      </w:tr>
      <w:tr>
        <w:tc>
          <w:tcPr>
            <w:tcW w:w="2400" w:type="dxa"/>
            <w:shd w:val="clear" w:fill="E6EDF5"/>
          </w:tcPr>
          <w:p>
            <w:pPr>
              <w:spacing w:after="80"/>
            </w:pPr>
            <w:r>
              <w:rPr>
                <w:rFonts w:ascii="Arial" w:hAnsi="Arial"/>
                <w:sz w:val="19"/>
                <w:b/>
              </w:rPr>
              <w:r>
                <w:t xml:space="preserve">Postcondiciones</w:t>
              </w:r>
            </w:r>
          </w:p>
        </w:tc>
        <w:tc>
          <w:tcPr>
            <w:tcW w:w="7600" w:type="dxa"/>
          </w:tcPr>
          <w:p>
            <w:pPr>
              <w:spacing w:after="80"/>
            </w:pPr>
            <w:r>
              <w:rPr>
                <w:rFonts w:ascii="Arial" w:hAnsi="Arial"/>
                <w:sz w:val="19"/>
              </w:rPr>
              <w:r>
                <w:t xml:space="preserve">1. Se devuelve un arreglo nuevo que contiene solo los registros que coinciden simultáneamente con todos los filtros activos y conserva el orden original.</w:t>
              </w:r>
              <w:r>
                <w:br/>
              </w:r>
              <w:r>
                <w:t xml:space="preserve">2. El catálogo de entrada no se modifica; si no hay coincidencias se devuelve un arreglo vacío.</w:t>
              </w:r>
            </w:r>
          </w:p>
        </w:tc>
      </w:tr>
      <w:tr>
        <w:tc>
          <w:tcPr>
            <w:tcW w:w="2400" w:type="dxa"/>
            <w:shd w:val="clear" w:fill="E6EDF5"/>
          </w:tcPr>
          <w:p>
            <w:pPr>
              <w:spacing w:after="80"/>
            </w:pPr>
            <w:r>
              <w:rPr>
                <w:rFonts w:ascii="Arial" w:hAnsi="Arial"/>
                <w:sz w:val="19"/>
                <w:b/>
              </w:rPr>
              <w:r>
                <w:t xml:space="preserve">Invariante</w:t>
              </w:r>
            </w:r>
          </w:p>
        </w:tc>
        <w:tc>
          <w:tcPr>
            <w:tcW w:w="7600" w:type="dxa"/>
          </w:tcPr>
          <w:p>
            <w:pPr>
              <w:spacing w:after="80"/>
            </w:pPr>
            <w:r>
              <w:rPr>
                <w:rFonts w:ascii="Arial" w:hAnsi="Arial"/>
                <w:sz w:val="19"/>
              </w:rPr>
              <w:r>
                <w:t xml:space="preserve">Todo registro devuelto cumple cada criterio activo; la función no altera el catálogo ni los filtros recibidos.</w:t>
              </w:r>
            </w:r>
          </w:p>
        </w:tc>
      </w:tr>
      <w:tr>
        <w:tc>
          <w:tcPr>
            <w:tcW w:w="2400" w:type="dxa"/>
            <w:shd w:val="clear" w:fill="E6EDF5"/>
          </w:tcPr>
          <w:p>
            <w:pPr>
              <w:spacing w:after="80"/>
            </w:pPr>
            <w:r>
              <w:rPr>
                <w:rFonts w:ascii="Arial" w:hAnsi="Arial"/>
                <w:sz w:val="19"/>
                <w:b/>
              </w:rPr>
              <w:r>
                <w:t xml:space="preserve">Validación defensiva</w:t>
              </w:r>
            </w:r>
          </w:p>
        </w:tc>
        <w:tc>
          <w:tcPr>
            <w:tcW w:w="7600" w:type="dxa"/>
          </w:tcPr>
          <w:p>
            <w:pPr>
              <w:spacing w:after="80"/>
            </w:pPr>
            <w:r>
              <w:rPr>
                <w:rFonts w:ascii="Arial" w:hAnsi="Arial"/>
                <w:sz w:val="19"/>
              </w:rPr>
              <w:r>
                <w:t xml:space="preserve">Entrada inválida 1: licitaciones es null o no es un arreglo. Respuesta: rechazar de inmediato con un error claro indicando que licitaciones debe ser un arreglo.</w:t>
              </w:r>
              <w:r>
                <w:br/>
              </w:r>
              <w:r>
                <w:t xml:space="preserve"/>
              </w:r>
              <w:r>
                <w:br/>
              </w:r>
              <w:r>
                <w:t xml:space="preserve">Entrada inválida 2: filters.keyword (o region/tipo) no es texto. Respuesta: rechazar con un error claro indicando qué filtro debe ser texto. Las validaciones de entrada deben ser comprobaciones normales en tiempo de ejecución, no solo aserciones.</w:t>
              </w:r>
            </w:r>
          </w:p>
        </w:tc>
      </w:tr>
      <w:tr>
        <w:tc>
          <w:tcPr>
            <w:tcW w:w="2400" w:type="dxa"/>
            <w:shd w:val="clear" w:fill="E6EDF5"/>
          </w:tcPr>
          <w:p>
            <w:pPr>
              <w:spacing w:after="80"/>
            </w:pPr>
            <w:r>
              <w:rPr>
                <w:rFonts w:ascii="Arial" w:hAnsi="Arial"/>
                <w:sz w:val="19"/>
                <w:b/>
              </w:rPr>
              <w:r>
                <w:t xml:space="preserve">Dependencia explícita</w:t>
              </w:r>
            </w:r>
          </w:p>
        </w:tc>
        <w:tc>
          <w:tcPr>
            <w:tcW w:w="7600" w:type="dxa"/>
          </w:tcPr>
          <w:p>
            <w:pPr>
              <w:spacing w:after="80"/>
            </w:pPr>
            <w:r>
              <w:rPr>
                <w:rFonts w:ascii="Arial" w:hAnsi="Arial"/>
                <w:sz w:val="19"/>
              </w:rPr>
              <w:r>
                <w:t xml:space="preserve">filterLicitaciones es una función pura: recibe el catálogo y los filtros como argumentos, y no necesita un servicio externo. No se debe presentar esta función como la dependencia colaboradora exigida por la guía. Para cumplir ese requisito del equipo, una de las otras operaciones debe inyectar un colaborador real; por ejemplo, la operación de favoritos puede recibir el storage como parámetro (readFavoritosStore(storage)).</w:t>
              </w:r>
            </w:r>
          </w:p>
        </w:tc>
      </w:tr>
      <w:tr>
        <w:tc>
          <w:tcPr>
            <w:tcW w:w="2400" w:type="dxa"/>
            <w:shd w:val="clear" w:fill="E6EDF5"/>
          </w:tcPr>
          <w:p>
            <w:pPr>
              <w:spacing w:after="80"/>
            </w:pPr>
            <w:r>
              <w:rPr>
                <w:rFonts w:ascii="Arial" w:hAnsi="Arial"/>
                <w:sz w:val="19"/>
                <w:b/>
              </w:rPr>
              <w:r>
                <w:t xml:space="preserve">Evidencia de ejecución</w:t>
              </w:r>
            </w:r>
          </w:p>
        </w:tc>
        <w:tc>
          <w:tcPr>
            <w:tcW w:w="7600" w:type="dxa"/>
          </w:tcPr>
          <w:p>
            <w:pPr>
              <w:spacing w:after="80"/>
            </w:pPr>
            <w:r>
              <w:rPr>
                <w:rFonts w:ascii="Arial" w:hAnsi="Arial"/>
                <w:sz w:val="19"/>
              </w:rPr>
              <w:r>
                <w:t xml:space="preserve">Caso válido: catálogo de prueba y filtros que seleccionan una licitación; comprobar resultado y orden.</w:t>
              </w:r>
              <w:r>
                <w:br/>
              </w:r>
              <w:r>
                <w:t xml:space="preserve">Caso inválido 1: catálogo null; comprobar el error definido.</w:t>
              </w:r>
              <w:r>
                <w:br/>
              </w:r>
              <w:r>
                <w:t xml:space="preserve">Caso inválido 2: keyword numérica; comprobar el error definido.</w:t>
              </w:r>
              <w:r>
                <w:br/>
              </w:r>
              <w:r>
                <w:t xml:space="preserve">Archivo de pruebas: tests/licitacionFilters.test.js.</w:t>
              </w:r>
              <w:r>
                <w:br/>
              </w:r>
              <w:r>
                <w:t xml:space="preserve">Comando: node --test tests/licitacionFilters.test.js.</w:t>
              </w:r>
              <w:r>
                <w:br/>
              </w:r>
              <w:r>
                <w:t xml:space="preserve">Registrar la salida real o una captura después de agregar y ejecutar esos casos; completar además npm run verify. Estado: evidencia pendiente de ejecución; no se afirma que estos casos ya hayan sido probados.</w:t>
              </w:r>
            </w:r>
          </w:p>
        </w:tc>
      </w:tr>
      <w:tr>
        <w:tc>
          <w:tcPr>
            <w:tcW w:w="2400" w:type="dxa"/>
            <w:shd w:val="clear" w:fill="E6EDF5"/>
          </w:tcPr>
          <w:p>
            <w:pPr>
              <w:spacing w:after="80"/>
            </w:pPr>
            <w:r>
              <w:rPr>
                <w:rFonts w:ascii="Arial" w:hAnsi="Arial"/>
                <w:sz w:val="19"/>
                <w:b/>
              </w:rPr>
              <w:r>
                <w:t xml:space="preserve">Alineación con el proyecto</w:t>
              </w:r>
            </w:r>
          </w:p>
        </w:tc>
        <w:tc>
          <w:tcPr>
            <w:tcW w:w="7600" w:type="dxa"/>
          </w:tcPr>
          <w:p>
            <w:pPr>
              <w:spacing w:after="80"/>
            </w:pPr>
            <w:r>
              <w:rPr>
                <w:rFonts w:ascii="Arial" w:hAnsi="Arial"/>
                <w:sz w:val="19"/>
              </w:rPr>
              <w:r>
                <w:t xml:space="preserve">Antes de cerrar el contrato, acuerda con el equipo el alcance de la palabra clave: la función actual busca en title, mientras que docs/CriteriosAceptacion.md, historia #43, pide buscar en title o institution. La ficha y las pruebas deben coincidir con la decisión y con el código final.</w:t>
              </w:r>
            </w:r>
          </w:p>
        </w:tc>
      </w:tr>
    </w:tbl>
    <w:sectPr>
      <w:pgSz w:w="11906" w:h="16838"/>
      <w:pgMar w:top="720" w:right="850" w:bottom="720" w:left="850" w:header="400" w:footer="400" w:gutter="0"/>
    </w:sectPr>
  </w:body>
</w:document>
</file>

<file path=word/styles.xml><?xml version="1.0" encoding="utf-8"?>
<w:styles xmlns:w="http://schemas.openxmlformats.org/wordprocessingml/2006/main">
  <w:docDefaults>
    <w:rPrDefault>
      <w:rPr>
        <w:rFonts w:ascii="Arial" w:hAnsi="Arial"/>
        <w:lang w:val="es-CL"/>
      </w:rPr>
    </w:rPrDefault>
    <w:pPrDefault>
      <w:pPr>
        <w:spacing w:line="240" w:lineRule="auto"/>
      </w:pPr>
    </w:p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