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Coverage Comparison — Media &amp; Entertainment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Full Coverage Comparison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A like-for-like, section-by-section comparison of the TMHCC Media &amp; Music Combined wording against four competitor wordings (fifth competitor pending).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— Tokio Marine HCC — Media &amp; Music Combined (Tokio Marine HCC); 15 sections (master/primary wording)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(Zurich) — Tysers “Focus” Combined ‘All Risks’ Media policy (Zurich Insurance plc (capacity)); 9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Yutree (AXA) — Media &amp; Entertainment by Yutree (AXA Insurance UK plc (capacity); Yutree Underwriting (MGA)); 12 cover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— Liberty Entertainment Combined Policy (Liberty (Liberty Specialty Markets)); 6 cover sections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— Allianz Entertainment ‘Complete’ Policy (Allianz); 8 cover sections (+ Terrorism)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Wording E — Fifth competitor — PENDING (—); To be assessed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Indicative wording comparison against the TMHCC Media &amp; Music Combined wording — for broking reference only. Always refer to the full policy wordings.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Market-ready subject to final TMHCC legal / underwriting sign-off.   Prepared from the wordings supplied; competitor capacity insurers noted where stated.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  </w:t>
      </w:r>
      <w:r>
        <w:rPr>
          <w:rFonts w:ascii="Lato" w:hAnsi="Lato" w:cs="Lato"/>
          <w:b/>
          <w:i w:val="0"/>
          <w:color w:val="00648B"/>
          <w:sz w:val="30"/>
        </w:rPr>
        <w:t>Executive summary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TMHCC’s Media &amp; Music Combined wording is, structurally, the broadest in the peer group reviewed. It is the only wording that offers all fifteen sections in a single contract, and it is the only wording to provide Loss of Licence, Commercial Legal Expenses, Management Liability and a genuine standalone Cyber-liability section. Two of the four competitors (Liberty and Allianz) are property / business-interruption / liability combined packages and contain no media, professional-indemnity, production-indemnity, cyber, legal-expenses or management-liability cover at all.</w:t>
      </w:r>
    </w:p>
    <w:p>
      <w:pPr>
        <w:spacing w:after="80" w:before="0"/>
        <w:jc w:val="both"/>
      </w:pPr>
      <w:r>
        <w:rPr>
          <w:rFonts w:ascii="Lato" w:hAnsi="Lato" w:cs="Lato"/>
          <w:b w:val="0"/>
          <w:i w:val="0"/>
          <w:color w:val="2B2F33"/>
          <w:sz w:val="19"/>
        </w:rPr>
        <w:t>The meaningful competition therefore sits in the sections the wordings share — principally Media Liability / Professional Indemnity (where Tysers, via Zurich, and Yutree, via AXA, both offer strong wordings) and the property / BI / liability suite (where Allianz and Liberty are mature property-led packages).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Headline conclusions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TMHCC wins outright:  </w:t>
      </w:r>
      <w:r>
        <w:rPr>
          <w:rFonts w:ascii="Lato" w:hAnsi="Lato" w:cs="Lato"/>
          <w:b w:val="0"/>
          <w:i w:val="0"/>
          <w:color w:val="2B2F33"/>
          <w:sz w:val="19"/>
        </w:rPr>
        <w:t>TMHCC is broader or unique on at least six rows (Terrorism vs Tysers; Goods in Transit; Loss of Licence; Legal Expenses; Management Liability; standalone Cyber).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Competitors broader:  </w:t>
      </w:r>
      <w:r>
        <w:rPr>
          <w:rFonts w:ascii="Lato" w:hAnsi="Lato" w:cs="Lato"/>
          <w:b w:val="0"/>
          <w:i w:val="0"/>
          <w:color w:val="2B2F33"/>
          <w:sz w:val="19"/>
        </w:rPr>
        <w:t>Tysers PI is worldwide, covers patents, funds statutory/criminal defence costs (GBP 1m), and adds a distributors-&amp;-purchasers extension and journalistic source-protection costs. Tysers and Yutree both offer Personal Accident, which TMHCC does not.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Broadly equivalent:  </w:t>
      </w:r>
      <w:r>
        <w:rPr>
          <w:rFonts w:ascii="Lato" w:hAnsi="Lato" w:cs="Lato"/>
          <w:b w:val="0"/>
          <w:i w:val="0"/>
          <w:color w:val="2B2F33"/>
          <w:sz w:val="19"/>
        </w:rPr>
        <w:t>Core media-liability grants (defamation, IP, privacy, professional negligence, defence costs in addition) are broadly equivalent across TMHCC, Tysers and Yutree.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TMHCC clearer:  </w:t>
      </w:r>
      <w:r>
        <w:rPr>
          <w:rFonts w:ascii="Lato" w:hAnsi="Lato" w:cs="Lato"/>
          <w:b w:val="0"/>
          <w:i w:val="0"/>
          <w:color w:val="2B2F33"/>
          <w:sz w:val="19"/>
        </w:rPr>
        <w:t>TMHCC’s data-protection defence costs, clean cyber-exclusion carve-out for the liability sections, and favourable fines/penalties write-back are clearer than at least one competitor.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Bottom line: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already presents as the most complete media &amp; entertainment package in this peer group. A focused set of Media-Liability enhancements (a Personal-Accident option, a worldwide/US-Canada territory option, distributors &amp; source-protection extensions, and a clarifying criminal-defence cross-reference) would let TMHCC show a tick on virtually every row — see the separate Gap-Fill / Wording Enhancement Strategy.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2  </w:t>
      </w:r>
      <w:r>
        <w:rPr>
          <w:rFonts w:ascii="Lato" w:hAnsi="Lato" w:cs="Lato"/>
          <w:b/>
          <w:i w:val="0"/>
          <w:color w:val="00648B"/>
          <w:sz w:val="30"/>
        </w:rPr>
        <w:t>Methodology and documents reviewed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Documents reviewed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</w:t>
            </w:r>
          </w:p>
        </w:tc>
        <w:tc>
          <w:tcPr>
            <w:tcW w:type="dxa" w:w="5386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Full title</w:t>
            </w:r>
          </w:p>
        </w:tc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Capacity / insurer</w:t>
            </w:r>
          </w:p>
        </w:tc>
        <w:tc>
          <w:tcPr>
            <w:tcW w:type="dxa" w:w="334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Structure</w:t>
            </w:r>
          </w:p>
        </w:tc>
      </w:tr>
      <w:tr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TMHCC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Tokio Marine HCC — Media &amp; Music Combined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Tokio Marine HCC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15 sections (master/primary wording)</w:t>
            </w:r>
          </w:p>
        </w:tc>
      </w:tr>
      <w:tr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Tysers (Zurich)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“Focus” Combined ‘All Risks’ Media policy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Zurich Insurance plc (capacity)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9 sections</w:t>
            </w:r>
          </w:p>
        </w:tc>
      </w:tr>
      <w:tr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Yutree (AXA)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Media &amp; Entertainment by Yutree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AXA Insurance UK plc (capacity); Yutree Underwriting (MGA)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12 cover sections</w:t>
            </w:r>
          </w:p>
        </w:tc>
      </w:tr>
      <w:tr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Liberty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Entertainment Combined Policy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Liberty (Liberty Specialty Markets)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6 cover sections</w:t>
            </w:r>
          </w:p>
        </w:tc>
      </w:tr>
      <w:tr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Allianz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 Entertainment ‘Complete’ Policy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Allianz</w:t>
            </w:r>
          </w:p>
        </w:tc>
        <w:tc>
          <w:tcPr>
            <w:tcW w:type="dxa" w:w="378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8 cover sections (+ Terrorism)</w:t>
            </w:r>
          </w:p>
        </w:tc>
      </w:tr>
      <w:tr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Wording E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Fifth competitor — PENDING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378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To be assessed</w:t>
            </w:r>
          </w:p>
        </w:tc>
      </w:tr>
    </w:tbl>
    <w:p>
      <w:pPr>
        <w:spacing w:after="120"/>
      </w:pP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Comparison method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 six wordings were parsed in full to text; coverage was compared by FUNCTION, not heading, because the wordings are structured differently.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Section maps were taken from each policy’s contents/insuring clauses; feature-level findings from the operative clauses, extensions, conditions and exclusions actually read.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Where a clause could not be verified from the wording it is marked ‘? requires review’ rather than assumed.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cover has been invented; competitor marketing language has not been treated as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is recorded as having a gap ONLY where at least one competitor genuinely provides broader, clearer or materially useful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Exclusions, limits, conditions, warranties and write-backs were reviewed in detail and are not softened.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and Allianz are property/BI/liability combined packages and contain NO media/PI/E&amp;O, production-indemnity, cyber-liability, legal-expenses or management-liability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Fifth competitor (Wording E) is shown as a PENDING placeholder column, to be completed when the wording is supplied.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FBF1DA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 xml:space="preserve">Reading the matrices: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✓ = cover clearly present · ◐ = partial / conditional / sub-limited · ✗ = not covered / not identified · ? = unclear, requires review · — = not applicable. In the EXCLUSIONS tables only, ✓ means the exclusion APPLIES, ◐ means a partial exclusion or write-back, and ✗ means the exclusion is absent or carved back.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3  </w:t>
      </w:r>
      <w:r>
        <w:rPr>
          <w:rFonts w:ascii="Lato" w:hAnsi="Lato" w:cs="Lato"/>
          <w:b/>
          <w:i w:val="0"/>
          <w:color w:val="00648B"/>
          <w:sz w:val="30"/>
        </w:rPr>
        <w:t>Market comparison at a glance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Section-by-section availability across the six wordings (the fifth competitor column is reserved). This is the headline coverage matrix; feature-level detail for the Media Liability / PI section follows in part 4.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06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Section of cover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 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(pending)</w:t>
            </w:r>
          </w:p>
        </w:tc>
        <w:tc>
          <w:tcPr>
            <w:tcW w:type="dxa" w:w="6576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 · Business “All Risks” (premises buildings &amp; contents)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five offer premises/contents material damage on an all-risks basis. Allianz and Liberty are property-led packages with very granular MD extensions; TMHCC consolidates IT/premises cover here.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S2 · Property &amp; Equipment “All Risks” (production/entertainment equipment)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Owned and hired-in production/entertainment equipment. Tysers (S1 Production Property), Yutree (Production property), Allianz (S6 Specified All Risks). Liberty covers entertainment equipment via specified Schedule items rather than a dedicated all-risks section.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S3 · Business Interruption “All Risks”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offer BI. Allianz is structurally broader — it splits Increased Cost of Working (S2a) and Book Debts (S3) into discrete sections. Confirm TMHCC S3 expressly covers ICOW/AICOW and book debts.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S4 · Terrorism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Yutree, Liberty and Allianz provide terrorism cover. Tysers EXCLUDES terrorism (General Exclusion 6 applies to Sections 1,2,3,5) with no buy-back section — client would need standalone Pool Re.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S5 · Employers’ Liability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Statutory EL provided by all five (typically GBP 10m). Broadly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S6 · Public Liability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Provided by all. Competitors combine Public &amp; Products into a single section; TMHCC splits Public (S6) and Products (S7).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S7 · Products Liability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Provided by all (combined with Public Liability in the four competitor wordings).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S8 · Money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Money cover provided by all five. Yutree combines Money with personal-accident assault.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S9 · Goods in Transit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 (GIT section) and Allianz (S5 Own Goods in Transit) provide GIT. Tysers and Liberty provide Money only — no dedicated GIT section identified.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S10 · Loss of Licence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TMHCC. Premises-licence loss cover under the Licensing Act 2003 — not offered by any competitor wording reviewed. Highly relevant for venues/festivals.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S11 · Production Indemnity “All Risks”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Tysers (S5 Multimedia &amp; Producers Indemnity) and Yutree (Production Indemnity) cover production costs / cast / negatives. Liberty and Allianz do NOT offer production indemnity.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S12 · Media Liability / Professional Indemnity (E&amp;O)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The heart of a media wording. TMHCC (S12), Tysers (S8 PI/E&amp;O) and Yutree (PI-Media + PI-Events) all provide it — see detailed feature matrix. Liberty and Allianz provide NO media/PI/E&amp;O cover.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S13 · Commercial Legal Expenses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 (ARAG-style legal expenses). No competitor wording includes a legal-expenses section.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S14 · Management Liability (D&amp;O / EPL etc.)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to TMHCC. No competitor wording includes management-liability cover.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S15 · Cyber Liability (standalone)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UNIQUE — TMHCC ‘CyberGuard’ is a genuine standalone cyber policy (multimedia, security &amp; privacy, privacy-regulatory, PCI DSS). Yutree offers a Computer Breakdown section only (first-party breakdown, not cyber liability). Others: none.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(+) Personal Accident &amp; Business Travel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GAP for TMHCC: no standalone PA/business-travel section in the 15-section structure. Tysers (S9 PA &amp; Business Travel) is extensive; Yutree covers personal-accident assault within its Money/PA section. Allianz references a ‘Personal Accident’ section in its exclusions but it is not in the provided cover list (requires review).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4  </w:t>
      </w:r>
      <w:r>
        <w:rPr>
          <w:rFonts w:ascii="Lato" w:hAnsi="Lato" w:cs="Lato"/>
          <w:b/>
          <w:i w:val="0"/>
          <w:color w:val="00648B"/>
          <w:sz w:val="30"/>
        </w:rPr>
        <w:t>Full coverage matrix — Media Liability / PI feature detail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The Media Liability / Professional Indemnity section (TMHCC S12; Tysers S8; Yutree PI-Media) is the heart of a media wording, so it is compared feature-by-feature below. Liberty and Allianz provide no media/PI cover and are shown as not covered throughout.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Media Liability / PI feature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 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(pending)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Defamation / libel / slander / malicious falsehood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cover ‘unintentional’ defamation; Tysers covers unless the statement was known/ought-to-have-been-known to be defamatory. Broadly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IP infringement – copyright / trademark / passing off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media wordings cover unintentional IP infringement incl. passing-off.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 infringement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8.9) expressly includes PATENT infringement within IP cover. TMHCC and Yutree EXCLUDE patents. TMHCC is sensibly more restrictive (patents are hard to underwrite).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Breach of confidence / invasion of privacy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Covered by all three (TMHCC/Yutree on an ‘unintentional’ basis; Tysers clauses 8.11/8.12).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Breach of professional duty / negligence / E&amp;O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Core E&amp;O. Covered by all three media wordings.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Dishonesty / fraud of employees (write-back)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(Insuring Clause 1.l) and Yutree (Dishonesty &amp; fraud cover) grant an express write-back for employee dishonesty; Tysers handles via its Criminal/Malicious Acts exclusion with an employee carve-out.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Defence costs payable IN ADDITION to the limit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pay defence costs in addition, with proportionate reduction once the limit is exceeded.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Territorial / jurisdiction scope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is WORLDWIDE. TMHCC limits cover to the Schedule Geographical Limits and EXCLUDES actions brought outside the stated Jurisdiction (default worldwide ex-US/Canada). Yutree is schedule-driven and restricts US/Canada exposure. Competitor (Tysers) broader.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Data-protection defence costs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grants Data Protection Defence Costs (GBP 250k). Yutree EXCLUDES breach of data-protection law in its PI section; Tysers has statutory-defence costs but not DP-specific. TMHCC clearer/broader here.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 / statutory prosecution defence costs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pays statutory defence costs (Bribery Act, Corporate Manslaughter, H&amp;S at Work, CDM Regs — GBP 1m). Yutree pays Criminal Prosecution Defence Costs (GBP 250k). TMHCC S12 grants only Data-Protection defence costs (broader criminal cover sits in S13/S14).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Reputation management / crisis-PR costs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grant Reputation Management costs (GBP 250k). Not identified in Tysers S8.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Withdrawal / alteration of content (incl. ASA/OFCOM)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grant Withdrawal of Content (GBP 250k) including ASA/OFCOM complaints. Not identified in Tysers.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Rectification / mitigation costs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three pay rectification/mitigation costs that avert a larger claim (TMHCC Rectification; Tysers 8.14; Yutree Mitigation costs).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Costs to PROSECUTE infringement of the insured’s own IP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(GBP 25k) and Yutree (IP-rights prosecution) fund pursuit of the insured’s own IP; subject to a supporting legal opinion. Not identified in Tysers.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 extension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8.7) extends indemnity to purchasers/co-producers/distributors of the insured’s media material (up to 5x the limit). Not provided by TMHCC or Yutree.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Journalistic source-protection / challenge to subpoena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(clause 8.13) funds legal costs to challenge a subpoena requiring disclosure of a source. Not provided by TMHCC or Yutree — broker-sensitive for editorial/news clients.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 at investigations / inquiries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(8.15, GBP 25k) covers representation at official examinations/inquiries. TMHCC provides this only via Data-Protection defence; Yutree via Criminal-Prosecution defence.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documents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Covered by all three (TMHCC Insuring Clause; Tysers 8.10 GBP 1m; Yutree Loss of Documents, GBP 500 excess).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Unintentional virus transmission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(GBP 500k sub-limit, with targeted-virus write-back) and Tysers (8.16, GBP 250k) cover unintentional virus transmission to third parties. Yutree treats virus within its broader cyber exclusion.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Mergers &amp; acquisitions / subsidiary auto-acquisition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16"/>
              </w:rPr>
              <w:t xml:space="preserve">Equivalent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both auto-include newly created/acquired entities below a 20% turnover threshold, with notification above. Tysers position requires review.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write-back (negligent advice)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grants a limited pollution write-back where the cause is a specific act/error/omission of the insured. TMHCC and Tysers exclude pollution from PI.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Cyber/data general exclusion impact on PI cover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 xml:space="preserve">TMHCC stronger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TMHCC’s general cyber/date exclusion applies to Sections 1–11 ONLY, leaving S12 with bespoke virus/unauthorised-access cover; Tysers’ Electronic-Risk exclusion is dis-applied to S8. Yutree’s PI carries a BROAD cyber &amp; data-protection exclusion that strips cyber-related PI.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Senior-counsel (KC) dispute-resolution clause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6"/>
              </w:rPr>
              <w:t xml:space="preserve">Competitor broader · </w:t>
            </w:r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 includes a clear King’s Counsel arbitration clause for defence/settlement disputes. TMHCC relies on a general mediation/dispute condition; Tysers requires review.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5  </w:t>
      </w:r>
      <w:r>
        <w:rPr>
          <w:rFonts w:ascii="Lato" w:hAnsi="Lato" w:cs="Lato"/>
          <w:b/>
          <w:i w:val="0"/>
          <w:color w:val="00648B"/>
          <w:sz w:val="30"/>
        </w:rPr>
        <w:t>Competitor-by-competitor analysis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Tysers “Focus” Combined ‘All Risks’ Media (capacity: Zurich Insurance plc)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9 sections: Production Property, Property Damage, BI, Money, Production (Multimedia &amp; Producers Indemnity), EL, Public &amp; Products, Professional Indemnity/E&amp;O, Personal Accident &amp; Business Travel.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PI/E&amp;O (S8) is WORLDWIDE and notably broad — includes PATENT infringement, statutory defence costs (Bribery/Corporate Manslaughter/H&amp;S/CDM, GBP 1m), Distributors &amp; Purchasers extension (5x limit), journalistic source-protection costs (challenge to subpoena), and representation costs (GBP 25k).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Extensive standalone Personal Accident &amp; Business Travel section (S9).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Loss of documents sub-limit GBP 1m.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terrorism cover (excluded outright).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dedicated Goods in Transit section (Money only).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Loss of Licence, Legal Expenses, Management Liability or standalone Cyber.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Reputation-Management or Withdrawal-of-Content extension identified in PI.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Media &amp; Entertainment by Yutree (capacity: AXA Insurance UK plc)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12 cover sections incl. Property, Production Property, Computer Breakdown, BI, Terrorism, EL, Public &amp; Products, Money &amp; PA assault, Goods in Transit, Production Indemnity, PI-Media and PI-Events.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Two PI sections (Media; and Events &amp; Installations) — useful where the client runs live events.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Strong PI extensions: Reputation Management (GBP 250k), Withdrawal of Content (GBP 250k), Criminal Prosecution Defence (GBP 250k), Mitigation, limited Pollution write-back, and a clear King’s Counsel dispute-resolution clause.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Standalone Computer Breakdown section; Goods in Transit section.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PI carries a BROAD cyber &amp; data-protection-law exclusion (strips cyber-related PI and DP defence).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Excludes patents.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Loss of Licence, Legal Expenses, Management Liability or standalone Cyber-liability section.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Liberty Entertainment Combined Policy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6 cover sections: Material Damage, Business Interruption, Terrorism, Money, Employer’s Liability, Public &amp; Products Liability.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Property-led wording with detailed Material-Damage extensions (e.g. removal to private home, capital additions, professional fees).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Clear, well-structured general exclusions/conditions.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Media Liability / PI / E&amp;O cover — not an errors-&amp;-omissions wording.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Production Indemnity, Goods in Transit, Loss of Licence, Legal Expenses, Management Liability, Cyber or Personal Accident.</w:t>
      </w:r>
    </w:p>
    <w:p>
      <w:pPr>
        <w:spacing w:after="8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Allianz Entertainment ‘Complete’ Policy</w:t>
      </w: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8"/>
        </w:rPr>
        <w:t>8 cover sections (+Terrorism): Property Damage, BI, Increased Cost of Working, Book Debts, Money, Own Goods in Transit, Specified All Risks, EL, Public &amp; Products.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1B7A3D"/>
          <w:sz w:val="20"/>
        </w:rPr>
        <w:t>Where it competes well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Granular BI suite — Increased Cost of Working (S2a) and Book Debts (S3) as discrete sections.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Mature property-package drafting (Specified All Risks, GIT).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00648B"/>
          <w:sz w:val="20"/>
        </w:rPr>
        <w:t>Where TMHCC is broader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Media Liability / PI / E&amp;O cover.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No Production Indemnity, Loss of Licence, Legal Expenses, Management Liability or standalone Cyber.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Personal Accident referenced in exclusions but not in the provided cover list (requires review).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EF1F3"/>
            <w:tcBorders>
              <w:top w:val="single" w:sz="4" w:space="0" w:color="6C7378"/>
              <w:left w:val="single" w:sz="22" w:space="0" w:color="6C7378"/>
              <w:bottom w:val="single" w:sz="4" w:space="0" w:color="6C7378"/>
              <w:right w:val="single" w:sz="4" w:space="0" w:color="6C7378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6C7378"/>
                <w:sz w:val="19"/>
              </w:rPr>
              <w:t xml:space="preserve">Wording E (fifth competitor):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Pending. A reserved column has been carried through every matrix so the fifth wording can be dropped in without re-formatting.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6  </w:t>
      </w:r>
      <w:r>
        <w:rPr>
          <w:rFonts w:ascii="Lato" w:hAnsi="Lato" w:cs="Lato"/>
          <w:b/>
          <w:i w:val="0"/>
          <w:color w:val="00648B"/>
          <w:sz w:val="30"/>
        </w:rPr>
        <w:t>TMHCC strengths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Where the TMHCC base wording is demonstrably stronger, broader or clearer than the competitor wordings reviewed: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7569"/>
        <w:gridCol w:w="7569"/>
      </w:tblGrid>
      <w:tr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Strength</w:t>
            </w:r>
          </w:p>
        </w:tc>
        <w:tc>
          <w:tcPr>
            <w:tcW w:type="dxa" w:w="1077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Widest section count in the peer group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The only wording reviewed offering all 15 sections in a single contract — a genuine ‘one-stop’ media &amp; entertainment package.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Four sections no competitor offers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Loss of Licence (S10), Commercial Legal Expenses (S13), Management Liability (S14) and a standalone Cyber-liability section (S15 CyberGuard) are unique to TMHCC across the peer group.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Standalone cyber that is genuine liability cover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CyberGuard provides multimedia, security &amp; privacy, privacy-regulatory defence &amp; penalties and PCI DSS cover — not merely first-party computer breakdown.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Broad, well-extended Media Liability (S12)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Wide ‘any other civil liability’ grant plus employee-dishonesty write-back, Data-Protection Defence Costs (GBP 250k), Reputation Management (GBP 250k), Withdrawal of Content (GBP 250k), IP-pursuit costs (GBP 25k) and M&amp;A auto-acquisition.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Clean exclusion architecture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The general cyber/date exclusion is dis-applied to Sections 12–15, so the liability sections are governed by their own bespoke terms — avoiding the ‘silent-cyber strip’ seen in a competitor PI section.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Favourable fines/penalties carve-back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Non-compensatory damages are written back for libel/slander/defamation awards and for punitive damages where the law permits payment.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Protective, clearly-drafted claims architecture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Claim notification is an express condition precedent; aggregation, retroactive date and territorial/jurisdiction terms are clearly defined.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7  </w:t>
      </w:r>
      <w:r>
        <w:rPr>
          <w:rFonts w:ascii="Lato" w:hAnsi="Lato" w:cs="Lato"/>
          <w:b/>
          <w:i w:val="0"/>
          <w:color w:val="00648B"/>
          <w:sz w:val="30"/>
        </w:rPr>
        <w:t>Areas where competitors are broader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Stated objectively — where a competitor genuinely provides broader, clearer or materially useful cover. Each item is carried into the separate Gap-Fill / Wording Enhancement Strategy.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7569"/>
        <w:gridCol w:w="7569"/>
      </w:tblGrid>
      <w:tr>
        <w:tc>
          <w:tcPr>
            <w:tcW w:type="dxa" w:w="3969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Area (competitor)</w:t>
            </w:r>
          </w:p>
        </w:tc>
        <w:tc>
          <w:tcPr>
            <w:tcW w:type="dxa" w:w="1077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What the competitor does / TMHCC position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Worldwide PI territory (Tysers)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PI/E&amp;O is worldwide; TMHCC S12 is limited to the Schedule Geographical Limits and excludes actions brought outside the stated Jurisdiction.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Patent infringement (Tysers)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covers patent infringement within IP; TMHCC (and Yutree) exclude it.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Statutory / criminal defence costs (Tysers &amp; Yutree)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funds Bribery/Corporate-Manslaughter/H&amp;S/CDM defence (GBP 1m); Yutree funds criminal-prosecution defence (GBP 250k). TMHCC S12 funds only data-protection defence (broader criminal cover sits in S13/S14).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Distributors &amp; purchasers (Tysers)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extends PI to purchasers/co-producers/distributors of the insured’s media material (5x limit) — absent from TMHCC.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Journalistic source protection (Tysers)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funds legal costs to challenge a subpoena requiring disclosure of a source — absent from TMHCC.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Personal Accident &amp; Business Travel (Tysers; Yutree assault)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Tysers has an extensive PA/business-travel section; Yutree covers PA assault. TMHCC has no PA section.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Granular BI heads (Allianz)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Allianz splits Increased Cost of Working and Book Debts into discrete sections — a presentational advantage.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Standalone Computer Breakdown (Yutree)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offers a dedicated computer-breakdown section; TMHCC consolidates IT breakdown within S1/S2 — confirm it is explicit.</w:t>
            </w:r>
          </w:p>
        </w:tc>
      </w:tr>
      <w:tr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Limited pollution write-back in PI (Yutree)</w:t>
            </w:r>
          </w:p>
        </w:tc>
        <w:tc>
          <w:tcPr>
            <w:tcW w:type="dxa" w:w="756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 grants a limited pollution write-back for the insured’s own negligent act/error/omission.</w:t>
            </w:r>
          </w:p>
        </w:tc>
      </w:tr>
      <w:tr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17"/>
              </w:rPr>
              <w:t>KC dispute-resolution clause (Yutree)</w:t>
            </w:r>
          </w:p>
        </w:tc>
        <w:tc>
          <w:tcPr>
            <w:tcW w:type="dxa" w:w="756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Yutree’s clear King’s Counsel arbitration clause for defence disputes is a drafting-clarity advantage.</w:t>
            </w:r>
          </w:p>
        </w:tc>
      </w:tr>
    </w:tbl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8  </w:t>
      </w:r>
      <w:r>
        <w:rPr>
          <w:rFonts w:ascii="Lato" w:hAnsi="Lato" w:cs="Lato"/>
          <w:b/>
          <w:i w:val="0"/>
          <w:color w:val="00648B"/>
          <w:sz w:val="30"/>
        </w:rPr>
        <w:t>Exclusions comparison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General exclusions (all sections)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FBF1DA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19"/>
              </w:rPr>
              <w:t xml:space="preserve">Note: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In this table ✓ = the exclusion APPLIES, ◐ = partial / write-back present, ✗ = exclusion absent or carved back, ? = requires review.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General exclusion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 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(pending)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War / nuclear / radioactive contamination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market exclusion present in all wordings. Broadly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Terrorism (property/BI)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Yutree, Liberty, Allianz write terrorism back via a dedicated Terrorism section; Tysers excludes terrorism outright (Sections 1,2,3,5) with no buy-back.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/ contamination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 with the usual sudden/accidental &amp; defined-peril write-backs.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Asbestos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Tysers PI (S8) has a professional-duty WRITE-BACK (cover where asbestos liability arises from negligent advice, GBP 1m, ex-bodily-injury). TMHCC and Yutree exclude asbestos more strictly in PI.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 / electronic risk (first-party damage &amp; BI)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exclude cyber-caused physical damage/BI. KEY DIFFERENCE: TMHCC dis-applies its cyber/date exclusion to Sections 12–15; Tysers dis-applies Electronic Risk to S8 PI. Yutree’s PI carries a broad cyber/data exclusion.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Date recognition / data-processing failure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‘millennium/date’-style exclusion. Tysers dis-applies it to S8/S9. Equivalent in substance.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Communicable disease / pandemic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carries a BROAD communicable-disease exclusion (applies notwithstanding all other terms). Not identified in Tysers general exclusions; Yutree/Liberty/Allianz require confirmation. TMHCC is more protected here (a deliberate restriction).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Sanctions / trade restrictions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carry a sanctions clause. TMHCC has both a Trading-Sanctions and an International-Sanctions clause. Equivalent.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Northern Ireland (civil commotion) / sonic bangs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Standard UK property-package carve-outs present in Tysers/Liberty/Allianz; TMHCC treatment within property sections requires confirmation.</w:t>
            </w:r>
          </w:p>
        </w:tc>
      </w:tr>
    </w:tbl>
    <w:p>
      <w:pPr>
        <w:spacing w:after="120"/>
      </w:pP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Media Liability / PI-specific exclusions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Liberty and Allianz have no PI section and are shown as not applicable.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17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PI exclusion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85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 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(pending)</w:t>
            </w:r>
          </w:p>
        </w:tc>
        <w:tc>
          <w:tcPr>
            <w:tcW w:type="dxa" w:w="646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 / practical impact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Contractual / assumed liability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all, with the standard write-back for liability that would exist absent the contract. TMHCC: duty ‘more onerous than common law/statute’.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Deliberate / reckless / dishonest acts (with employee write-back)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All exclude deliberate/dishonest acts of the insured but write back dishonest acts of employees. Equivalent.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Bodily injury / property damage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unless arising from negligent publication/advice.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Fines / penalties / punitive damages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excludes non-compensatory damages BUT writes back libel/slander/defamation awards and punitive damages where the law permits payment — a favourable, clearly-drafted carve-back. Competitor positions require review.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Prior known claims / circumstances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 by all (claims-made hygiene). Equivalent.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Insolvency / financial failure of the insured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EEF1F3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5B6166"/>
                <w:sz w:val="21"/>
              </w:rPr>
              <w:t>?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expressly excludes claims arising from its own insolvency/liquidation. Competitor positions require review.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USA / Canada jurisdiction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excludes actions brought / governed outside the stated Jurisdiction (default ex-US/Canada). Tysers PI is WORLDWIDE (no such exclusion). Yutree restricts US/Canada exposure. Competitor (Tysers) broader.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Patent infringement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Yutree exclude patents; Tysers covers patent infringement. TMHCC sensibly more restrictive.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 act / breach of data-protection law (within PI)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Yutree’s PI carries a broad cyber-act &amp; data-protection-law exclusion. TMHCC instead grants bespoke cover (virus, unauthorised access, DP defence costs) — TMHCC broader/clearer.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Pollution / seepage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—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 and Tysers exclude pollution from PI; Yutree grants a limited write-back for the insured’s own negligent act/error/omission.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Exclusions — key takeaways: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is sensibly MORE protected on communicable disease, patents and US/Canada jurisdiction. The genuine write-back opportunities a competitor offers are: asbestos professional-duty (Tysers), pollution negligent-advice (Yutree) and a rated worldwide/US-Canada PI option (Tysers). TMHCC is clearer where its cyber/date exclusion is dis-applied to the liability sections, avoiding a ‘silent-cyber strip’ of PI.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9  </w:t>
      </w:r>
      <w:r>
        <w:rPr>
          <w:rFonts w:ascii="Lato" w:hAnsi="Lato" w:cs="Lato"/>
          <w:b/>
          <w:i w:val="0"/>
          <w:color w:val="00648B"/>
          <w:sz w:val="30"/>
        </w:rPr>
        <w:t>Conditions, warranties and claims obligations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Condition / obligation</w:t>
            </w:r>
          </w:p>
        </w:tc>
        <w:tc>
          <w:tcPr>
            <w:tcW w:type="dxa" w:w="283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43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43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215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Claim notification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Express CONDITION PRECEDENT to liability — notify as soon as practicable (S1–11); S13 within 28 days; S12 claims-made notification during the period. Among the most protective drafting.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Notification under Special Condition 1; S8 PI is claims-made.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Claims-made; defined notification conditions for claims and claim circumstances.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Forward every claim document immediately on receipt.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Forward claim/notify in accordance with claims condition; potential proportionate remedy.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Basis of cover (PI/Media)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Media Liability is claims-made with Retroactive Date; defence-costs in addition.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PI/E&amp;O claims-made; defence costs in addition; Excess does not apply to defence costs.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PI-Media claims-made; retroactive date; defence costs in addition.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— no PI/media section.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— no PI/media section.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Reasonable precautions / cyber-security conditions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imposes detailed computer-security conditions (firewall, AV, password change every 60 days, encryption, logging, regular back-ups) and ‘reasonable steps to avoid loss’.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Loss-of-documents condition requires back-ups at least every 7 days held off-site.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Reasonable-precautions and security expectations apply.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General ‘your duties’ / reasonable precautions section.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Reasonable-precautions and maintenance conditions.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Change of control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cover ceases on a change of control unless notified and agreed by endorsement.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Requires review.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Addressed via subsidiary creation/acquisition cover.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(no PI).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n/a (no PI).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Premium payment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premium payment clause — 60 days, with 15-day cancellation notice.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Per policy/General Conditions.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Premium-adjustment condition with cancellation rights.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Standard cancellation section.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Standard cancellation provisions.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Fair presentation (Insurance Act 2015)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Duty of fair presentation applies (UK).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Duty of fair presentation; Zurich data terms.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Express duty of fair presentation.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‘About this policy / your duties’ — fair presentation.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Fair-presentation conditions.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Defence / dispute resolution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consent required (CP); general mediation/dispute condition (England &amp; Wales).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controls defence; consent to settle.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Clear King’s Counsel arbitration clause for defence/settlement disputes — strong drafting.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conduct-of-claims rights.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Insurer conduct-of-claims rights.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Claims obligations: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TMHCC’s claim-notification is an EXPRESS condition precedent to liability — among the most protective drafting in the peer group, and a point to retain (not soften). Yutree’s King’s Counsel dispute clause is a drafting-clarity advantage TMHCC could adopt.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10  </w:t>
      </w:r>
      <w:r>
        <w:rPr>
          <w:rFonts w:ascii="Lato" w:hAnsi="Lato" w:cs="Lato"/>
          <w:b/>
          <w:i w:val="0"/>
          <w:color w:val="00648B"/>
          <w:sz w:val="30"/>
        </w:rPr>
        <w:t>Limits, sub-limits and excess comparison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Primary limits and excesses are schedule-driven and were not supplied; the table below compares the principal SUB-LIMITS within the Media Liability / PI sections (Liberty and Allianz have no PI section).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306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Media / PI sub-limit</w:t>
            </w:r>
          </w:p>
        </w:tc>
        <w:tc>
          <w:tcPr>
            <w:tcW w:type="dxa" w:w="249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198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198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Primary limit of indemnity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 Schedule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 Schedule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 Schedule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Virus transmission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500,000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Within cyber exclusion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Data-protection defence costs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Excluded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Criminal / statutory defence costs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 (DP only)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1,000,000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Reputation management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Withdrawal of content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Pursue insured’s own IP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25,000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Limit of indemnity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documents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Per Schedule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1,000,000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Limit (GBP 500 excess)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Representation costs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DP only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25,000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Within criminal defence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Court attendance (per day)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500 / GBP 250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GBP 500 / GBP 250 (GBP 25k agg)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Requires review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Distributors &amp; purchasers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5x limit of indemnity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  <w:tc>
          <w:tcPr>
            <w:tcW w:type="dxa" w:w="2523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n/a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Excess: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and the competitors apply a per-claim excess per the Schedule; both Tysers and TMHCC pay defence costs in addition to the limit (Tysers states the excess does not apply to defence costs). Confirm final limits/excesses against each Schedule.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11  </w:t>
      </w:r>
      <w:r>
        <w:rPr>
          <w:rFonts w:ascii="Lato" w:hAnsi="Lato" w:cs="Lato"/>
          <w:b/>
          <w:i w:val="0"/>
          <w:color w:val="00648B"/>
          <w:sz w:val="30"/>
        </w:rPr>
        <w:t>Legal / underwriting review notes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Items flagged ‘requires review’ in the matrices, plus points for TMHCC legal / underwriting sign-off: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whether TMHCC offers Personal Accident / Business Travel by endorsement (no standalone section identified).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references a ‘Personal Accident’ section in its exclusions that is not in the provided cover list — confirm against the Allianz schedule.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communicable-disease exclusion positions in the Yutree, Liberty and Allianz wordings (TMHCC carries a broad exclusion).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Tysers and Yutree positions on fines/penalties and insolvency exclusions within PI (marked ‘review’).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Confirm Increased Cost of Working / Book Debts and computer-breakdown are expressly addressed within TMHCC S3 and S1/S2 respectively.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Primary limits, excesses and any ‘insured/not insured’ toggles are schedule-driven and must be confirmed against each Schedule.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This comparison is indicative and for broking reference; it is subject to final TMHCC legal / underwriting sign-off before market use.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12  </w:t>
      </w:r>
      <w:r>
        <w:rPr>
          <w:rFonts w:ascii="Lato" w:hAnsi="Lato" w:cs="Lato"/>
          <w:b/>
          <w:i w:val="0"/>
          <w:color w:val="00648B"/>
          <w:sz w:val="30"/>
        </w:rPr>
        <w:t>Appendix — detailed clause mapping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Cross-reference of comparable cover by FUNCTION across the wordings (section names are the actual headings used in each policy).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Cover (by function)</w:t>
            </w:r>
          </w:p>
        </w:tc>
        <w:tc>
          <w:tcPr>
            <w:tcW w:type="dxa" w:w="272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272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 (Zurich)</w:t>
            </w:r>
          </w:p>
        </w:tc>
        <w:tc>
          <w:tcPr>
            <w:tcW w:type="dxa" w:w="260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 (AXA)</w:t>
            </w:r>
          </w:p>
        </w:tc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204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Premises material damage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Business ‘All Risks’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Property Damage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Property damage – All risks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Material Damage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Property Damage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Production / entertainment equipment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Property &amp; Equipment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 Production Property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Production property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Within S1 / Schedule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Specified All Risks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Business interruption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Business Interruption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BI ‘All Risks’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BI – All risks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Business Interruption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S2 BI / S2a ICOW / S3 Book Debts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Terrorism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Terrorism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Excluded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Terrorism section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S3 Terrorism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Terrorism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Employers’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Employers’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Employers’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Employers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Employer’s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S7 Employers’ Liability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Public &amp; products liability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Public / S7 Products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S7 Public &amp; Products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Public &amp; products liability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S6 Public &amp; Products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Public &amp; Products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Money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Money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Money &amp; PA assault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S4 Money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Goods in transit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S9 Goods in Transit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Goods in transit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Own Goods in Transit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Loss of licence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S10 Loss of Licence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Production indemnity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S11 Production Indemnity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S5 Multimedia &amp; Producers Indemnity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Production indemnity – All risks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Media liability / PI / E&amp;O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S12 Media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S8 Professional Indemnity/E&amp;O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PI – Media; PI – Events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Legal expenses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S13 Commercial Legal Expenses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Management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S14 Management Liability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Cyber liability (standalone)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S15 CyberGuard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Computer breakdown (first-party only)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</w:tr>
      <w:tr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Personal accident / travel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S9 PA &amp; Business Travel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PA assault (within Money/PA)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—</w:t>
            </w:r>
          </w:p>
        </w:tc>
        <w:tc>
          <w:tcPr>
            <w:tcW w:type="dxa" w:w="252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Referenced – review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Lato" w:hAnsi="Lato" w:cs="Lato"/>
          <w:b w:val="0"/>
          <w:i/>
          <w:color w:val="6C7378"/>
          <w:sz w:val="17"/>
        </w:rPr>
        <w:t>End of Full Coverage Comparison. A companion document — TMHCC Gap-Fill / Wording Enhancement Strategy — sets out the recommended enhancements arising from this comparison.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Indicative wording comparison — broking reference only. Refer to the full policy wordings.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W w:type="pct" w:w="5000"/>
      <w:tblLayout w:type="fixed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569"/>
      <w:gridCol w:w="7569"/>
    </w:tblGrid>
    <w:tr>
      <w:tc>
        <w:tcPr>
          <w:tcW w:type="dxa" w:w="11202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Entertainment</w:t>
          </w:r>
        </w:p>
      </w:tc>
      <w:tc>
        <w:tcPr>
          <w:tcW w:type="dxa" w:w="393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