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Smoke Test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Branding Pipeline Test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Validating logo, fonts, palette, legend, landscape matrix and PDF export.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— master wording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(Zurich)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Yutree (AXA)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Indicative wording comparison — broking reference only.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Subject to TMHCC legal/underwriting sign-off.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B88A3C"/>
          <w:sz w:val="30"/>
        </w:rPr>
        <w:t xml:space="preserve">1  </w:t>
      </w:r>
      <w:r>
        <w:rPr>
          <w:rFonts w:ascii="Lato" w:hAnsi="Lato" w:cs="Lato"/>
          <w:b/>
          <w:i w:val="0"/>
          <w:color w:val="00648B"/>
          <w:sz w:val="30"/>
        </w:rPr>
        <w:t>Coverage comparison at a glance</w:t>
      </w:r>
    </w:p>
    <w:p>
      <w:pPr>
        <w:spacing w:after="120"/>
      </w:pPr>
      <w:r>
        <w:rPr>
          <w:rFonts w:ascii="Lato" w:hAnsi="Lato" w:cs="Lato"/>
          <w:b/>
          <w:i w:val="0"/>
          <w:color w:val="1B7A3D"/>
          <w:sz w:val="19"/>
        </w:rPr>
        <w:t xml:space="preserve">✓ </w:t>
      </w:r>
      <w:r>
        <w:rPr>
          <w:rFonts w:ascii="Lato" w:hAnsi="Lato" w:cs="Lato"/>
          <w:b w:val="0"/>
          <w:i w:val="0"/>
          <w:color w:val="6C7378"/>
          <w:sz w:val="17"/>
        </w:rPr>
        <w:t>Covered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8A6A1E"/>
          <w:sz w:val="19"/>
        </w:rPr>
        <w:t xml:space="preserve">◐ </w:t>
      </w:r>
      <w:r>
        <w:rPr>
          <w:rFonts w:ascii="Lato" w:hAnsi="Lato" w:cs="Lato"/>
          <w:b w:val="0"/>
          <w:i w:val="0"/>
          <w:color w:val="6C7378"/>
          <w:sz w:val="17"/>
        </w:rPr>
        <w:t>Partial / conditional / sub-limit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A4233B"/>
          <w:sz w:val="19"/>
        </w:rPr>
        <w:t xml:space="preserve">✗ </w:t>
      </w:r>
      <w:r>
        <w:rPr>
          <w:rFonts w:ascii="Lato" w:hAnsi="Lato" w:cs="Lato"/>
          <w:b w:val="0"/>
          <w:i w:val="0"/>
          <w:color w:val="6C7378"/>
          <w:sz w:val="17"/>
        </w:rPr>
        <w:t>Not covered / not identified</w:t>
      </w:r>
      <w:r>
        <w:rPr>
          <w:rFonts w:ascii="Lato" w:hAnsi="Lato" w:cs="Lato"/>
          <w:b w:val="0"/>
          <w:i w:val="0"/>
          <w:color w:val="AEB4B8"/>
          <w:sz w:val="17"/>
        </w:rPr>
        <w:t xml:space="preserve">     </w:t>
      </w:r>
      <w:r>
        <w:rPr>
          <w:rFonts w:ascii="Lato" w:hAnsi="Lato" w:cs="Lato"/>
          <w:b/>
          <w:i w:val="0"/>
          <w:color w:val="5B6166"/>
          <w:sz w:val="19"/>
        </w:rPr>
        <w:t xml:space="preserve">? </w:t>
      </w:r>
      <w:r>
        <w:rPr>
          <w:rFonts w:ascii="Lato" w:hAnsi="Lato" w:cs="Lato"/>
          <w:b w:val="0"/>
          <w:i w:val="0"/>
          <w:color w:val="6C7378"/>
          <w:sz w:val="17"/>
        </w:rPr>
        <w:t>Unclear – requires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W w:type="pct" w:w="500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340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Section of cover</w:t>
            </w:r>
          </w:p>
        </w:tc>
        <w:tc>
          <w:tcPr>
            <w:tcW w:type="dxa" w:w="90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TMHCC</w:t>
            </w:r>
          </w:p>
        </w:tc>
        <w:tc>
          <w:tcPr>
            <w:tcW w:type="dxa" w:w="107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Tysers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(Zurich)</w:t>
            </w:r>
          </w:p>
        </w:tc>
        <w:tc>
          <w:tcPr>
            <w:tcW w:type="dxa" w:w="107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Yutree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(AXA)</w:t>
            </w:r>
          </w:p>
        </w:tc>
        <w:tc>
          <w:tcPr>
            <w:tcW w:type="dxa" w:w="96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Liberty</w:t>
            </w:r>
          </w:p>
        </w:tc>
        <w:tc>
          <w:tcPr>
            <w:tcW w:type="dxa" w:w="96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Allianz</w:t>
            </w:r>
          </w:p>
        </w:tc>
        <w:tc>
          <w:tcPr>
            <w:tcW w:type="dxa" w:w="1077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Wording E</w:t>
            </w:r>
          </w:p>
          <w:p>
            <w:pPr>
              <w:spacing w:after="20" w:before="0"/>
              <w:jc w:val="center"/>
            </w:pPr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(pending)</w:t>
            </w:r>
          </w:p>
        </w:tc>
        <w:tc>
          <w:tcPr>
            <w:tcW w:type="dxa" w:w="4535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Section 12 · Media Liability / PI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TMHCC, Tysers (S8 PI/E&amp;O) and Yutree (PI-Media) all offer media/PI; Liberty and Allianz do not.</w:t>
            </w:r>
          </w:p>
        </w:tc>
      </w:tr>
      <w:tr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Section 15 · Cyber Liability</w:t>
            </w:r>
          </w:p>
        </w:tc>
        <w:tc>
          <w:tcPr>
            <w:tcW w:type="dxa" w:w="1892"/>
            <w:shd w:val="clear" w:color="auto" w:fill="E3F1E8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1B7A3D"/>
                <w:sz w:val="21"/>
              </w:rPr>
              <w:t>✓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F1D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6A1E"/>
                <w:sz w:val="21"/>
              </w:rPr>
              <w:t>◐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BE6EA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A4233B"/>
                <w:sz w:val="21"/>
              </w:rPr>
              <w:t>✗</w:t>
            </w:r>
          </w:p>
        </w:tc>
        <w:tc>
          <w:tcPr>
            <w:tcW w:type="dxa" w:w="1892"/>
            <w:shd w:val="clear" w:color="auto" w:fill="F2F4F5"/>
          </w:tcPr>
          <w:p>
            <w:pPr>
              <w:spacing w:after="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8A9095"/>
                <w:sz w:val="21"/>
              </w:rPr>
              <w:t>…</w:t>
            </w:r>
          </w:p>
        </w:tc>
        <w:tc>
          <w:tcPr>
            <w:tcW w:type="dxa" w:w="189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Only TMHCC offers standalone cyber (CyberGuard). Yutree has computer-breakdown only.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5138"/>
      </w:tblGrid>
      <w:tr>
        <w:tc>
          <w:tcPr>
            <w:tcW w:type="dxa" w:w="15138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Reviewer note: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This is a pipeline smoke test only.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Indicative wording comparison — broking reference only. Refer to the full policy wordings. Subject to TMHCC legal/underwriting sign-off.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autofi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370"/>
      <w:gridCol w:w="7370"/>
    </w:tblGrid>
    <w:tr>
      <w:tc>
        <w:tcPr>
          <w:tcW w:type="dxa" w:w="7370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Entertainment</w:t>
          </w:r>
        </w:p>
      </w:tc>
      <w:tc>
        <w:tcPr>
          <w:tcW w:type="dxa" w:w="737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