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drawing>
          <wp:inline xmlns:a="http://schemas.openxmlformats.org/drawingml/2006/main" xmlns:pic="http://schemas.openxmlformats.org/drawingml/2006/picture">
            <wp:extent cx="582188" cy="540000"/>
            <wp:docPr id="1" name="Picture 1"/>
            <wp:cNvGraphicFramePr>
              <a:graphicFrameLocks noChangeAspect="1"/>
            </wp:cNvGraphicFramePr>
            <a:graphic>
              <a:graphicData uri="http://schemas.openxmlformats.org/drawingml/2006/picture">
                <pic:pic>
                  <pic:nvPicPr>
                    <pic:cNvPr id="0" name="tmhcc_logo.png"/>
                    <pic:cNvPicPr/>
                  </pic:nvPicPr>
                  <pic:blipFill>
                    <a:blip r:embed="rId11"/>
                    <a:stretch>
                      <a:fillRect/>
                    </a:stretch>
                  </pic:blipFill>
                  <pic:spPr>
                    <a:xfrm>
                      <a:off x="0" y="0"/>
                      <a:ext cx="582188" cy="540000"/>
                    </a:xfrm>
                    <a:prstGeom prst="rect"/>
                  </pic:spPr>
                </pic:pic>
              </a:graphicData>
            </a:graphic>
          </wp:inline>
        </w:drawing>
      </w:r>
    </w:p>
    <w:p>
      <w:pPr>
        <w:spacing w:after="600"/>
      </w:pPr>
    </w:p>
    <w:p>
      <w:pPr>
        <w:spacing w:after="40"/>
      </w:pPr>
      <w:r>
        <w:rPr>
          <w:rFonts w:ascii="Lato" w:hAnsi="Lato" w:cs="Lato"/>
          <w:b/>
          <w:i w:val="0"/>
          <w:color w:val="B88A3C"/>
          <w:sz w:val="22"/>
          <w:caps w:val="true"/>
        </w:rPr>
        <w:t>QA / Change Report — Media &amp; Entertainment</w:t>
      </w:r>
    </w:p>
    <w:p>
      <w:pPr>
        <w:spacing w:after="80"/>
        <w:pBdr>
          <w:bottom w:val="single" w:sz="14" w:space="2" w:color="B88A3C"/>
        </w:pBdr>
      </w:pPr>
      <w:r>
        <w:rPr>
          <w:rFonts w:ascii="Lato" w:hAnsi="Lato" w:cs="Lato"/>
          <w:b/>
          <w:i w:val="0"/>
          <w:color w:val="00648B"/>
          <w:sz w:val="60"/>
        </w:rPr>
        <w:t>QA &amp; Change Report</w:t>
      </w:r>
    </w:p>
    <w:p>
      <w:pPr>
        <w:spacing w:after="280" w:before="120"/>
      </w:pPr>
      <w:r>
        <w:rPr>
          <w:rFonts w:ascii="Lato" w:hAnsi="Lato" w:cs="Lato"/>
          <w:b w:val="0"/>
          <w:i w:val="0"/>
          <w:color w:val="2B2F33"/>
          <w:sz w:val="26"/>
        </w:rPr>
        <w:t>What changed in the TMHCC Media &amp; Music Combined wording, where, what is applied vs parked, and what awaits underwriting/legal sign-off.</w:t>
      </w:r>
    </w:p>
    <w:p>
      <w:pPr>
        <w:keepNext/>
        <w:spacing w:before="120" w:after="20"/>
      </w:pPr>
      <w:r>
        <w:rPr>
          <w:rFonts w:ascii="Lato" w:hAnsi="Lato" w:cs="Lato"/>
          <w:b/>
          <w:i w:val="0"/>
          <w:color w:val="B88A3C"/>
          <w:sz w:val="20"/>
        </w:rPr>
        <w:t>Wordings reviewed</w:t>
      </w:r>
    </w:p>
    <w:p>
      <w:pPr>
        <w:pStyle w:val="ListBullet"/>
        <w:spacing w:after="40"/>
        <w:ind w:left="340"/>
      </w:pPr>
      <w:r>
        <w:rPr>
          <w:rFonts w:ascii="Lato" w:hAnsi="Lato" w:cs="Lato"/>
          <w:b w:val="0"/>
          <w:i w:val="0"/>
          <w:color w:val="2B2F33"/>
          <w:sz w:val="19"/>
        </w:rPr>
        <w:t>FINAL TMHCC clean wording (baseline)</w:t>
      </w:r>
    </w:p>
    <w:p>
      <w:pPr>
        <w:pStyle w:val="ListBullet"/>
        <w:spacing w:after="40"/>
        <w:ind w:left="340"/>
      </w:pPr>
      <w:r>
        <w:rPr>
          <w:rFonts w:ascii="Lato" w:hAnsi="Lato" w:cs="Lato"/>
          <w:b w:val="0"/>
          <w:i w:val="0"/>
          <w:color w:val="2B2F33"/>
          <w:sz w:val="19"/>
        </w:rPr>
        <w:t>Five attached competitor wordings (Tysers, Yutree, Liberty, Allianz, AXA XL)</w:t>
      </w:r>
    </w:p>
    <w:p>
      <w:pPr>
        <w:pStyle w:val="ListBullet"/>
        <w:spacing w:after="40"/>
        <w:ind w:left="340"/>
      </w:pPr>
      <w:r>
        <w:rPr>
          <w:rFonts w:ascii="Lato" w:hAnsi="Lato" w:cs="Lato"/>
          <w:b w:val="0"/>
          <w:i w:val="0"/>
          <w:color w:val="2B2F33"/>
          <w:sz w:val="19"/>
        </w:rPr>
        <w:t>Original 0223C wording (Summary of Changes baseline)</w:t>
      </w:r>
    </w:p>
    <w:p>
      <w:pPr>
        <w:spacing w:after="200"/>
      </w:pPr>
    </w:p>
    <w:p>
      <w:pPr>
        <w:spacing w:after="60" w:before="0"/>
      </w:pPr>
      <w:r>
        <w:rPr>
          <w:rFonts w:ascii="Lato" w:hAnsi="Lato" w:cs="Lato"/>
          <w:b w:val="0"/>
          <w:i/>
          <w:color w:val="6C7378"/>
          <w:sz w:val="17"/>
        </w:rPr>
        <w:t>Round 8 (EMERGENT DISPATCH v3). Companion to the tracked-changes wording, clean wording, Summary of Changes, Summary of Cover, Gap Analysis and Coverage Comparison.</w:t>
      </w:r>
    </w:p>
    <w:p>
      <w:r>
        <w:br w:type="page"/>
      </w:r>
    </w:p>
    <w:p>
      <w:pPr>
        <w:keepNext/>
        <w:spacing w:before="280" w:after="40"/>
        <w:pBdr>
          <w:bottom w:val="single" w:sz="8" w:space="2" w:color="B88A3C"/>
        </w:pBdr>
      </w:pPr>
      <w:r>
        <w:rPr>
          <w:rFonts w:ascii="Lato" w:hAnsi="Lato" w:cs="Lato"/>
          <w:b/>
          <w:i w:val="0"/>
          <w:color w:val="00648B"/>
          <w:sz w:val="30"/>
        </w:rPr>
        <w:t>1  Files produced</w:t>
      </w:r>
    </w:p>
    <w:p>
      <w:pPr>
        <w:pStyle w:val="ListBullet"/>
        <w:spacing w:after="40"/>
        <w:ind w:left="340"/>
      </w:pPr>
      <w:r>
        <w:rPr>
          <w:rFonts w:ascii="Lato" w:hAnsi="Lato" w:cs="Lato"/>
          <w:b w:val="0"/>
          <w:i w:val="0"/>
          <w:color w:val="2B2F33"/>
          <w:sz w:val="19"/>
        </w:rPr>
        <w:t>TMHCC_Media_Combined_0526_FINAL_TrackedChanges.docx — final wording with every amendment as a discrete, individually accept/reject-able tracked change (old values visibly replaced).</w:t>
      </w:r>
    </w:p>
    <w:p>
      <w:pPr>
        <w:pStyle w:val="ListBullet"/>
        <w:spacing w:after="40"/>
        <w:ind w:left="340"/>
      </w:pPr>
      <w:r>
        <w:rPr>
          <w:rFonts w:ascii="Lato" w:hAnsi="Lato" w:cs="Lato"/>
          <w:b w:val="0"/>
          <w:i w:val="0"/>
          <w:color w:val="2B2F33"/>
          <w:sz w:val="19"/>
        </w:rPr>
        <w:t>TMHCC_Media_Combined_0526_FINAL_Clean.docx — clean final wording (all new tracked changes accepted).</w:t>
      </w:r>
    </w:p>
    <w:p>
      <w:pPr>
        <w:pStyle w:val="ListBullet"/>
        <w:spacing w:after="40"/>
        <w:ind w:left="340"/>
      </w:pPr>
      <w:r>
        <w:rPr>
          <w:rFonts w:ascii="Lato" w:hAnsi="Lato" w:cs="Lato"/>
          <w:b w:val="0"/>
          <w:i w:val="0"/>
          <w:color w:val="2B2F33"/>
          <w:sz w:val="19"/>
        </w:rPr>
        <w:t>TMHCC_Media_Combined_Summary_of_Changes_FINAL.docx (+PDF) — full summary of changes vs the 0223C wording.</w:t>
      </w:r>
    </w:p>
    <w:p>
      <w:pPr>
        <w:pStyle w:val="ListBullet"/>
        <w:spacing w:after="40"/>
        <w:ind w:left="340"/>
      </w:pPr>
      <w:r>
        <w:rPr>
          <w:rFonts w:ascii="Lato" w:hAnsi="Lato" w:cs="Lato"/>
          <w:b w:val="0"/>
          <w:i w:val="0"/>
          <w:color w:val="2B2F33"/>
          <w:sz w:val="19"/>
        </w:rPr>
        <w:t>TMHCC_Media_Combined_Summary_of_Cover_FINAL.docx (+PDF) — summary of cover, updated to the final wording (no Personal Accident, no Travel).</w:t>
      </w:r>
    </w:p>
    <w:p>
      <w:pPr>
        <w:pStyle w:val="ListBullet"/>
        <w:spacing w:after="40"/>
        <w:ind w:left="340"/>
      </w:pPr>
      <w:r>
        <w:rPr>
          <w:rFonts w:ascii="Lato" w:hAnsi="Lato" w:cs="Lato"/>
          <w:b w:val="0"/>
          <w:i w:val="0"/>
          <w:color w:val="2B2F33"/>
          <w:sz w:val="19"/>
        </w:rPr>
        <w:t>TMHCC_Media_GapFill_Enhancement_Strategy.docx (+PDF) — SEPARATE internal granular gap analysis &amp; sub-limit record.</w:t>
      </w:r>
    </w:p>
    <w:p>
      <w:pPr>
        <w:pStyle w:val="ListBullet"/>
        <w:spacing w:after="40"/>
        <w:ind w:left="340"/>
      </w:pPr>
      <w:r>
        <w:rPr>
          <w:rFonts w:ascii="Lato" w:hAnsi="Lato" w:cs="Lato"/>
          <w:b w:val="0"/>
          <w:i w:val="0"/>
          <w:color w:val="2B2F33"/>
          <w:sz w:val="19"/>
        </w:rPr>
        <w:t>TMHCC_Media_Coverage_Comparison_FULL.docx (+PDF) — client/broker-facing coverage comparison (no gap content).</w:t>
      </w:r>
    </w:p>
    <w:p>
      <w:pPr>
        <w:pStyle w:val="ListBullet"/>
        <w:spacing w:after="40"/>
        <w:ind w:left="340"/>
      </w:pPr>
      <w:r>
        <w:rPr>
          <w:rFonts w:ascii="Lato" w:hAnsi="Lato" w:cs="Lato"/>
          <w:b w:val="0"/>
          <w:i w:val="0"/>
          <w:color w:val="2B2F33"/>
          <w:sz w:val="19"/>
        </w:rPr>
        <w:t>TMHCC_Media_Comparison_QA_Methodology.docx (+PDF) — this QA / change report.</w:t>
      </w:r>
    </w:p>
    <w:p>
      <w:pPr>
        <w:keepNext/>
        <w:spacing w:before="280" w:after="40"/>
        <w:pBdr>
          <w:bottom w:val="single" w:sz="8" w:space="2" w:color="B88A3C"/>
        </w:pBdr>
      </w:pPr>
      <w:r>
        <w:rPr>
          <w:rFonts w:ascii="Lato" w:hAnsi="Lato" w:cs="Lato"/>
          <w:b/>
          <w:i w:val="0"/>
          <w:color w:val="00648B"/>
          <w:sz w:val="30"/>
        </w:rPr>
        <w:t>2  Document handling</w:t>
      </w:r>
    </w:p>
    <w:p>
      <w:pPr>
        <w:pStyle w:val="ListBullet"/>
        <w:spacing w:after="40"/>
        <w:ind w:left="340"/>
      </w:pPr>
      <w:r>
        <w:rPr>
          <w:rFonts w:ascii="Lato" w:hAnsi="Lato" w:cs="Lato"/>
          <w:b/>
          <w:i w:val="0"/>
          <w:color w:val="00648B"/>
          <w:sz w:val="19"/>
        </w:rPr>
        <w:t xml:space="preserve">Existing tracked changes accepted before new edits:  </w:t>
      </w:r>
      <w:r>
        <w:rPr>
          <w:rFonts w:ascii="Lato" w:hAnsi="Lato" w:cs="Lato"/>
          <w:b w:val="0"/>
          <w:i w:val="0"/>
          <w:color w:val="2B2F33"/>
          <w:sz w:val="19"/>
        </w:rPr>
        <w:t>Yes — the uploaded clean wording contained no residual revisions; accepted to form the clean baseline.</w:t>
      </w:r>
    </w:p>
    <w:p>
      <w:pPr>
        <w:pStyle w:val="ListBullet"/>
        <w:spacing w:after="40"/>
        <w:ind w:left="340"/>
      </w:pPr>
      <w:r>
        <w:rPr>
          <w:rFonts w:ascii="Lato" w:hAnsi="Lato" w:cs="Lato"/>
          <w:b/>
          <w:i w:val="0"/>
          <w:color w:val="00648B"/>
          <w:sz w:val="19"/>
        </w:rPr>
        <w:t xml:space="preserve">Fresh tracked changes used for new edits:  </w:t>
      </w:r>
      <w:r>
        <w:rPr>
          <w:rFonts w:ascii="Lato" w:hAnsi="Lato" w:cs="Lato"/>
          <w:b w:val="0"/>
          <w:i w:val="0"/>
          <w:color w:val="2B2F33"/>
          <w:sz w:val="19"/>
        </w:rPr>
        <w:t>Yes — a new tracked-changes layer was started from the baseline; no old tracked changes carried forward.</w:t>
      </w:r>
    </w:p>
    <w:p>
      <w:pPr>
        <w:pStyle w:val="ListBullet"/>
        <w:spacing w:after="40"/>
        <w:ind w:left="340"/>
      </w:pPr>
      <w:r>
        <w:rPr>
          <w:rFonts w:ascii="Lato" w:hAnsi="Lato" w:cs="Lato"/>
          <w:b/>
          <w:i w:val="0"/>
          <w:color w:val="00648B"/>
          <w:sz w:val="19"/>
        </w:rPr>
        <w:t xml:space="preserve">Each amendment discrete / individually accept-reject-able:  </w:t>
      </w:r>
      <w:r>
        <w:rPr>
          <w:rFonts w:ascii="Lato" w:hAnsi="Lato" w:cs="Lato"/>
          <w:b w:val="0"/>
          <w:i w:val="0"/>
          <w:color w:val="2B2F33"/>
          <w:sz w:val="19"/>
        </w:rPr>
        <w:t>Yes — each amendment is a self-contained insertion or deletion at a distinct location.</w:t>
      </w:r>
    </w:p>
    <w:p>
      <w:pPr>
        <w:pStyle w:val="ListBullet"/>
        <w:spacing w:after="40"/>
        <w:ind w:left="340"/>
      </w:pPr>
      <w:r>
        <w:rPr>
          <w:rFonts w:ascii="Lato" w:hAnsi="Lato" w:cs="Lato"/>
          <w:b/>
          <w:i w:val="0"/>
          <w:color w:val="00648B"/>
          <w:sz w:val="19"/>
        </w:rPr>
        <w:t xml:space="preserve">Sub-limit / definition changes show old → new:  </w:t>
      </w:r>
      <w:r>
        <w:rPr>
          <w:rFonts w:ascii="Lato" w:hAnsi="Lato" w:cs="Lato"/>
          <w:b w:val="0"/>
          <w:i w:val="0"/>
          <w:color w:val="2B2F33"/>
          <w:sz w:val="19"/>
        </w:rPr>
        <w:t>Yes — definition replacements (A5, A6) delete the old text and insert the new, so the original remains visible.</w:t>
      </w:r>
    </w:p>
    <w:p>
      <w:pPr>
        <w:pStyle w:val="ListBullet"/>
        <w:spacing w:after="40"/>
        <w:ind w:left="340"/>
      </w:pPr>
      <w:r>
        <w:rPr>
          <w:rFonts w:ascii="Lato" w:hAnsi="Lato" w:cs="Lato"/>
          <w:b/>
          <w:i w:val="0"/>
          <w:color w:val="00648B"/>
          <w:sz w:val="19"/>
        </w:rPr>
        <w:t xml:space="preserve">Clean final version also produced:  </w:t>
      </w:r>
      <w:r>
        <w:rPr>
          <w:rFonts w:ascii="Lato" w:hAnsi="Lato" w:cs="Lato"/>
          <w:b w:val="0"/>
          <w:i w:val="0"/>
          <w:color w:val="2B2F33"/>
          <w:sz w:val="19"/>
        </w:rPr>
        <w:t>Yes.</w:t>
      </w:r>
    </w:p>
    <w:p>
      <w:pPr>
        <w:pStyle w:val="ListBullet"/>
        <w:spacing w:after="40"/>
        <w:ind w:left="340"/>
      </w:pPr>
      <w:r>
        <w:rPr>
          <w:rFonts w:ascii="Lato" w:hAnsi="Lato" w:cs="Lato"/>
          <w:b/>
          <w:i w:val="0"/>
          <w:color w:val="00648B"/>
          <w:sz w:val="19"/>
        </w:rPr>
        <w:t xml:space="preserve">Branding / layout / hyperlinks / numbering:  </w:t>
      </w:r>
      <w:r>
        <w:rPr>
          <w:rFonts w:ascii="Lato" w:hAnsi="Lato" w:cs="Lato"/>
          <w:b w:val="0"/>
          <w:i w:val="0"/>
          <w:color w:val="2B2F33"/>
          <w:sz w:val="19"/>
        </w:rPr>
        <w:t>Preserved — inserted headings reuse existing styles without auto-numbering; no section/column or contents-page changes made.</w:t>
      </w:r>
    </w:p>
    <w:p>
      <w:pPr>
        <w:keepNext/>
        <w:spacing w:before="280" w:after="40"/>
        <w:pBdr>
          <w:bottom w:val="single" w:sz="8" w:space="2" w:color="B88A3C"/>
        </w:pBdr>
      </w:pPr>
      <w:r>
        <w:rPr>
          <w:rFonts w:ascii="Lato" w:hAnsi="Lato" w:cs="Lato"/>
          <w:b/>
          <w:i w:val="0"/>
          <w:color w:val="00648B"/>
          <w:sz w:val="30"/>
        </w:rPr>
        <w:t>3  Change log — discrete tracked changes</w:t>
      </w:r>
    </w:p>
    <w:tbl>
      <w:tblPr>
        <w:tblW w:type="dxa" w:w="9922"/>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737"/>
        <w:gridCol w:w="2381"/>
        <w:gridCol w:w="2722"/>
        <w:gridCol w:w="3232"/>
        <w:gridCol w:w="850"/>
      </w:tblGrid>
      <w:tr>
        <w:tc>
          <w:tcPr>
            <w:tcW w:type="dxa" w:w="737"/>
            <w:shd w:val="clear" w:color="auto" w:fill="00648B"/>
          </w:tcPr>
          <w:p>
            <w:pPr>
              <w:spacing w:after="20" w:before="0"/>
              <w:jc w:val="center"/>
            </w:pPr>
            <w:r/>
            <w:r>
              <w:rPr>
                <w:rFonts w:ascii="Lato" w:hAnsi="Lato" w:cs="Lato"/>
                <w:b/>
                <w:i w:val="0"/>
                <w:color w:val="FFFFFF"/>
                <w:sz w:val="17"/>
              </w:rPr>
              <w:t>Ref</w:t>
            </w:r>
          </w:p>
        </w:tc>
        <w:tc>
          <w:tcPr>
            <w:tcW w:type="dxa" w:w="2381"/>
            <w:shd w:val="clear" w:color="auto" w:fill="00648B"/>
          </w:tcPr>
          <w:p>
            <w:pPr>
              <w:spacing w:after="20" w:before="0"/>
              <w:jc w:val="center"/>
            </w:pPr>
            <w:r/>
            <w:r>
              <w:rPr>
                <w:rFonts w:ascii="Lato" w:hAnsi="Lato" w:cs="Lato"/>
                <w:b/>
                <w:i w:val="0"/>
                <w:color w:val="FFFFFF"/>
                <w:sz w:val="17"/>
              </w:rPr>
              <w:t>Location</w:t>
            </w:r>
          </w:p>
        </w:tc>
        <w:tc>
          <w:tcPr>
            <w:tcW w:type="dxa" w:w="2721"/>
            <w:shd w:val="clear" w:color="auto" w:fill="00648B"/>
          </w:tcPr>
          <w:p>
            <w:pPr>
              <w:spacing w:after="20" w:before="0"/>
              <w:jc w:val="center"/>
            </w:pPr>
            <w:r/>
            <w:r>
              <w:rPr>
                <w:rFonts w:ascii="Lato" w:hAnsi="Lato" w:cs="Lato"/>
                <w:b/>
                <w:i w:val="0"/>
                <w:color w:val="FFFFFF"/>
                <w:sz w:val="17"/>
              </w:rPr>
              <w:t>Type / change</w:t>
            </w:r>
          </w:p>
        </w:tc>
        <w:tc>
          <w:tcPr>
            <w:tcW w:type="dxa" w:w="3231"/>
            <w:shd w:val="clear" w:color="auto" w:fill="00648B"/>
          </w:tcPr>
          <w:p>
            <w:pPr>
              <w:spacing w:after="20" w:before="0"/>
              <w:jc w:val="center"/>
            </w:pPr>
            <w:r/>
            <w:r>
              <w:rPr>
                <w:rFonts w:ascii="Lato" w:hAnsi="Lato" w:cs="Lato"/>
                <w:b/>
                <w:i w:val="0"/>
                <w:color w:val="FFFFFF"/>
                <w:sz w:val="17"/>
              </w:rPr>
              <w:t>Old → New</w:t>
            </w:r>
          </w:p>
        </w:tc>
        <w:tc>
          <w:tcPr>
            <w:tcW w:type="dxa" w:w="850"/>
            <w:shd w:val="clear" w:color="auto" w:fill="00648B"/>
          </w:tcPr>
          <w:p>
            <w:pPr>
              <w:spacing w:after="20" w:before="0"/>
              <w:jc w:val="center"/>
            </w:pPr>
            <w:r/>
            <w:r>
              <w:rPr>
                <w:rFonts w:ascii="Lato" w:hAnsi="Lato" w:cs="Lato"/>
                <w:b/>
                <w:i w:val="0"/>
                <w:color w:val="FFFFFF"/>
                <w:sz w:val="17"/>
              </w:rPr>
              <w:t>Sign-off</w:t>
            </w:r>
          </w:p>
        </w:tc>
      </w:tr>
      <w:tr>
        <w:tc>
          <w:tcPr>
            <w:tcW w:type="dxa" w:w="737"/>
          </w:tcPr>
          <w:p>
            <w:pPr>
              <w:spacing w:after="20" w:before="0"/>
            </w:pPr>
            <w:r/>
            <w:r>
              <w:rPr>
                <w:rFonts w:ascii="Lato" w:hAnsi="Lato" w:cs="Lato"/>
                <w:b/>
                <w:i w:val="0"/>
                <w:color w:val="00648B"/>
                <w:sz w:val="16"/>
              </w:rPr>
              <w:t>A4</w:t>
            </w:r>
          </w:p>
        </w:tc>
        <w:tc>
          <w:tcPr>
            <w:tcW w:type="dxa" w:w="2381"/>
          </w:tcPr>
          <w:p>
            <w:pPr>
              <w:spacing w:after="20" w:before="0"/>
            </w:pPr>
            <w:r/>
            <w:r>
              <w:rPr>
                <w:rFonts w:ascii="Lato" w:hAnsi="Lato" w:cs="Lato"/>
                <w:b w:val="0"/>
                <w:i w:val="0"/>
                <w:color w:val="2B2F33"/>
                <w:sz w:val="16"/>
              </w:rPr>
              <w:t>Section 8 – Money (Sub-Section 1)</w:t>
            </w:r>
          </w:p>
        </w:tc>
        <w:tc>
          <w:tcPr>
            <w:tcW w:type="dxa" w:w="2722"/>
          </w:tcPr>
          <w:p>
            <w:pPr>
              <w:spacing w:after="20" w:before="0"/>
            </w:pPr>
            <w:r/>
            <w:r>
              <w:rPr>
                <w:rFonts w:ascii="Lato" w:hAnsi="Lato" w:cs="Lato"/>
                <w:b w:val="0"/>
                <w:i w:val="0"/>
                <w:color w:val="2B2F33"/>
                <w:sz w:val="16"/>
              </w:rPr>
              <w:t>New extension ‘Money – Touring and Entertainment Activities’</w:t>
            </w:r>
          </w:p>
        </w:tc>
        <w:tc>
          <w:tcPr>
            <w:tcW w:type="dxa" w:w="3232"/>
          </w:tcPr>
          <w:p>
            <w:pPr>
              <w:spacing w:after="20" w:before="0"/>
            </w:pPr>
            <w:r/>
            <w:r>
              <w:rPr>
                <w:rFonts w:ascii="Lato" w:hAnsi="Lato" w:cs="Lato"/>
                <w:b w:val="0"/>
                <w:i w:val="0"/>
                <w:color w:val="2B2F33"/>
                <w:sz w:val="15"/>
              </w:rPr>
              <w:t>OLD: (none — new)</w:t>
            </w:r>
          </w:p>
          <w:p>
            <w:pPr>
              <w:spacing w:after="20" w:before="0"/>
            </w:pPr>
            <w:r>
              <w:rPr>
                <w:rFonts w:ascii="Lato" w:hAnsi="Lato" w:cs="Lato"/>
                <w:b w:val="0"/>
                <w:i w:val="0"/>
                <w:color w:val="2B2F33"/>
                <w:sz w:val="15"/>
              </w:rPr>
              <w:t>NEW: Schedule-referenced money cover for touring/live-event/music activities</w:t>
            </w:r>
          </w:p>
        </w:tc>
        <w:tc>
          <w:tcPr>
            <w:tcW w:type="dxa" w:w="850"/>
          </w:tcPr>
          <w:p>
            <w:pPr>
              <w:spacing w:after="20" w:before="0"/>
              <w:jc w:val="center"/>
            </w:pPr>
            <w:r/>
            <w:r>
              <w:rPr>
                <w:rFonts w:ascii="Lato" w:hAnsi="Lato" w:cs="Lato"/>
                <w:b w:val="0"/>
                <w:i w:val="0"/>
                <w:color w:val="2B2F33"/>
                <w:sz w:val="16"/>
              </w:rPr>
              <w:t>No</w:t>
            </w:r>
          </w:p>
        </w:tc>
      </w:tr>
      <w:tr>
        <w:tc>
          <w:tcPr>
            <w:tcW w:type="dxa" w:w="737"/>
            <w:shd w:val="clear" w:color="auto" w:fill="F4F7F9"/>
          </w:tcPr>
          <w:p>
            <w:pPr>
              <w:spacing w:after="20" w:before="0"/>
            </w:pPr>
            <w:r/>
            <w:r>
              <w:rPr>
                <w:rFonts w:ascii="Lato" w:hAnsi="Lato" w:cs="Lato"/>
                <w:b/>
                <w:i w:val="0"/>
                <w:color w:val="00648B"/>
                <w:sz w:val="16"/>
              </w:rPr>
              <w:t>A5</w:t>
            </w:r>
          </w:p>
        </w:tc>
        <w:tc>
          <w:tcPr>
            <w:tcW w:type="dxa" w:w="2381"/>
            <w:shd w:val="clear" w:color="auto" w:fill="F4F7F9"/>
          </w:tcPr>
          <w:p>
            <w:pPr>
              <w:spacing w:after="20" w:before="0"/>
            </w:pPr>
            <w:r/>
            <w:r>
              <w:rPr>
                <w:rFonts w:ascii="Lato" w:hAnsi="Lato" w:cs="Lato"/>
                <w:b w:val="0"/>
                <w:i w:val="0"/>
                <w:color w:val="2B2F33"/>
                <w:sz w:val="16"/>
              </w:rPr>
              <w:t>Section 13 – Commercial Legal Expenses</w:t>
            </w:r>
          </w:p>
        </w:tc>
        <w:tc>
          <w:tcPr>
            <w:tcW w:type="dxa" w:w="2722"/>
            <w:shd w:val="clear" w:color="auto" w:fill="F4F7F9"/>
          </w:tcPr>
          <w:p>
            <w:pPr>
              <w:spacing w:after="20" w:before="0"/>
            </w:pPr>
            <w:r/>
            <w:r>
              <w:rPr>
                <w:rFonts w:ascii="Lato" w:hAnsi="Lato" w:cs="Lato"/>
                <w:b w:val="0"/>
                <w:i w:val="0"/>
                <w:color w:val="2B2F33"/>
                <w:sz w:val="16"/>
              </w:rPr>
              <w:t>Definition amendment – ‘Employee’</w:t>
            </w:r>
          </w:p>
        </w:tc>
        <w:tc>
          <w:tcPr>
            <w:tcW w:type="dxa" w:w="3232"/>
            <w:shd w:val="clear" w:color="auto" w:fill="F4F7F9"/>
          </w:tcPr>
          <w:p>
            <w:pPr>
              <w:spacing w:after="20" w:before="0"/>
            </w:pPr>
            <w:r/>
            <w:r>
              <w:rPr>
                <w:rFonts w:ascii="Lato" w:hAnsi="Lato" w:cs="Lato"/>
                <w:b w:val="0"/>
                <w:i w:val="0"/>
                <w:color w:val="2B2F33"/>
                <w:sz w:val="15"/>
              </w:rPr>
              <w:t>OLD: ‘A worker who has or alleges they have entered into a contract of service with You.’</w:t>
            </w:r>
          </w:p>
          <w:p>
            <w:pPr>
              <w:spacing w:after="20" w:before="0"/>
            </w:pPr>
            <w:r>
              <w:rPr>
                <w:rFonts w:ascii="Lato" w:hAnsi="Lato" w:cs="Lato"/>
                <w:b w:val="0"/>
                <w:i w:val="0"/>
                <w:color w:val="2B2F33"/>
                <w:sz w:val="15"/>
              </w:rPr>
              <w:t>NEW: Broadened to include labour-only, self-employed, hired/borrowed, voluntary, work-experience, secondee, student and prospective employees — at least as wide as Tysers &amp; Yutree.</w:t>
            </w:r>
          </w:p>
        </w:tc>
        <w:tc>
          <w:tcPr>
            <w:tcW w:type="dxa" w:w="850"/>
            <w:shd w:val="clear" w:color="auto" w:fill="F4F7F9"/>
          </w:tcPr>
          <w:p>
            <w:pPr>
              <w:spacing w:after="20" w:before="0"/>
              <w:jc w:val="center"/>
            </w:pPr>
            <w:r/>
            <w:r>
              <w:rPr>
                <w:rFonts w:ascii="Lato" w:hAnsi="Lato" w:cs="Lato"/>
                <w:b w:val="0"/>
                <w:i w:val="0"/>
                <w:color w:val="2B2F33"/>
                <w:sz w:val="16"/>
              </w:rPr>
              <w:t>No</w:t>
            </w:r>
          </w:p>
        </w:tc>
      </w:tr>
      <w:tr>
        <w:tc>
          <w:tcPr>
            <w:tcW w:type="dxa" w:w="737"/>
          </w:tcPr>
          <w:p>
            <w:pPr>
              <w:spacing w:after="20" w:before="0"/>
            </w:pPr>
            <w:r/>
            <w:r>
              <w:rPr>
                <w:rFonts w:ascii="Lato" w:hAnsi="Lato" w:cs="Lato"/>
                <w:b/>
                <w:i w:val="0"/>
                <w:color w:val="00648B"/>
                <w:sz w:val="16"/>
              </w:rPr>
              <w:t>A6</w:t>
            </w:r>
          </w:p>
        </w:tc>
        <w:tc>
          <w:tcPr>
            <w:tcW w:type="dxa" w:w="2381"/>
          </w:tcPr>
          <w:p>
            <w:pPr>
              <w:spacing w:after="20" w:before="0"/>
            </w:pPr>
            <w:r/>
            <w:r>
              <w:rPr>
                <w:rFonts w:ascii="Lato" w:hAnsi="Lato" w:cs="Lato"/>
                <w:b w:val="0"/>
                <w:i w:val="0"/>
                <w:color w:val="2B2F33"/>
                <w:sz w:val="16"/>
              </w:rPr>
              <w:t>Section 12 – Media Liability</w:t>
            </w:r>
          </w:p>
        </w:tc>
        <w:tc>
          <w:tcPr>
            <w:tcW w:type="dxa" w:w="2722"/>
          </w:tcPr>
          <w:p>
            <w:pPr>
              <w:spacing w:after="20" w:before="0"/>
            </w:pPr>
            <w:r/>
            <w:r>
              <w:rPr>
                <w:rFonts w:ascii="Lato" w:hAnsi="Lato" w:cs="Lato"/>
                <w:b w:val="0"/>
                <w:i w:val="0"/>
                <w:color w:val="2B2F33"/>
                <w:sz w:val="16"/>
              </w:rPr>
              <w:t>Definition amendment – ‘Computer System’</w:t>
            </w:r>
          </w:p>
        </w:tc>
        <w:tc>
          <w:tcPr>
            <w:tcW w:type="dxa" w:w="3232"/>
          </w:tcPr>
          <w:p>
            <w:pPr>
              <w:spacing w:after="20" w:before="0"/>
            </w:pPr>
            <w:r/>
            <w:r>
              <w:rPr>
                <w:rFonts w:ascii="Lato" w:hAnsi="Lato" w:cs="Lato"/>
                <w:b w:val="0"/>
                <w:i w:val="0"/>
                <w:color w:val="2B2F33"/>
                <w:sz w:val="15"/>
              </w:rPr>
              <w:t>OLD: Older web/comms-focused definition.</w:t>
            </w:r>
          </w:p>
          <w:p>
            <w:pPr>
              <w:spacing w:after="20" w:before="0"/>
            </w:pPr>
            <w:r>
              <w:rPr>
                <w:rFonts w:ascii="Lato" w:hAnsi="Lato" w:cs="Lato"/>
                <w:b w:val="0"/>
                <w:i w:val="0"/>
                <w:color w:val="2B2F33"/>
                <w:sz w:val="15"/>
              </w:rPr>
              <w:t>NEW: Replaced with a broad definition aligned to Section 15 / property endorsement.</w:t>
            </w:r>
          </w:p>
        </w:tc>
        <w:tc>
          <w:tcPr>
            <w:tcW w:type="dxa" w:w="850"/>
          </w:tcPr>
          <w:p>
            <w:pPr>
              <w:spacing w:after="20" w:before="0"/>
              <w:jc w:val="center"/>
            </w:pPr>
            <w:r/>
            <w:r>
              <w:rPr>
                <w:rFonts w:ascii="Lato" w:hAnsi="Lato" w:cs="Lato"/>
                <w:b w:val="0"/>
                <w:i w:val="0"/>
                <w:color w:val="2B2F33"/>
                <w:sz w:val="16"/>
              </w:rPr>
              <w:t>Yes</w:t>
            </w:r>
          </w:p>
        </w:tc>
      </w:tr>
      <w:tr>
        <w:tc>
          <w:tcPr>
            <w:tcW w:type="dxa" w:w="737"/>
            <w:shd w:val="clear" w:color="auto" w:fill="F4F7F9"/>
          </w:tcPr>
          <w:p>
            <w:pPr>
              <w:spacing w:after="20" w:before="0"/>
            </w:pPr>
            <w:r/>
            <w:r>
              <w:rPr>
                <w:rFonts w:ascii="Lato" w:hAnsi="Lato" w:cs="Lato"/>
                <w:b/>
                <w:i w:val="0"/>
                <w:color w:val="00648B"/>
                <w:sz w:val="16"/>
              </w:rPr>
              <w:t>B1</w:t>
            </w:r>
          </w:p>
        </w:tc>
        <w:tc>
          <w:tcPr>
            <w:tcW w:type="dxa" w:w="2381"/>
            <w:shd w:val="clear" w:color="auto" w:fill="F4F7F9"/>
          </w:tcPr>
          <w:p>
            <w:pPr>
              <w:spacing w:after="20" w:before="0"/>
            </w:pPr>
            <w:r/>
            <w:r>
              <w:rPr>
                <w:rFonts w:ascii="Lato" w:hAnsi="Lato" w:cs="Lato"/>
                <w:b w:val="0"/>
                <w:i w:val="0"/>
                <w:color w:val="2B2F33"/>
                <w:sz w:val="16"/>
              </w:rPr>
              <w:t>Section 12 – Media Liability (Extensions)</w:t>
            </w:r>
          </w:p>
        </w:tc>
        <w:tc>
          <w:tcPr>
            <w:tcW w:type="dxa" w:w="2722"/>
            <w:shd w:val="clear" w:color="auto" w:fill="F4F7F9"/>
          </w:tcPr>
          <w:p>
            <w:pPr>
              <w:spacing w:after="20" w:before="0"/>
            </w:pPr>
            <w:r/>
            <w:r>
              <w:rPr>
                <w:rFonts w:ascii="Lato" w:hAnsi="Lato" w:cs="Lato"/>
                <w:b w:val="0"/>
                <w:i w:val="0"/>
                <w:color w:val="2B2F33"/>
                <w:sz w:val="16"/>
              </w:rPr>
              <w:t>New cover – Distributors &amp; Purchasers</w:t>
            </w:r>
          </w:p>
        </w:tc>
        <w:tc>
          <w:tcPr>
            <w:tcW w:type="dxa" w:w="3232"/>
            <w:shd w:val="clear" w:color="auto" w:fill="F4F7F9"/>
          </w:tcPr>
          <w:p>
            <w:pPr>
              <w:spacing w:after="20" w:before="0"/>
            </w:pPr>
            <w:r/>
            <w:r>
              <w:rPr>
                <w:rFonts w:ascii="Lato" w:hAnsi="Lato" w:cs="Lato"/>
                <w:b w:val="0"/>
                <w:i w:val="0"/>
                <w:color w:val="2B2F33"/>
                <w:sz w:val="15"/>
              </w:rPr>
              <w:t>OLD: (none — new)</w:t>
            </w:r>
          </w:p>
          <w:p>
            <w:pPr>
              <w:spacing w:after="20" w:before="0"/>
            </w:pPr>
            <w:r>
              <w:rPr>
                <w:rFonts w:ascii="Lato" w:hAnsi="Lato" w:cs="Lato"/>
                <w:b w:val="0"/>
                <w:i w:val="0"/>
                <w:color w:val="2B2F33"/>
                <w:sz w:val="15"/>
              </w:rPr>
              <w:t>NEW: 5× Indemnity Limit aggregate; control-of-defence + claims-made conditions.</w:t>
            </w:r>
          </w:p>
        </w:tc>
        <w:tc>
          <w:tcPr>
            <w:tcW w:type="dxa" w:w="850"/>
            <w:shd w:val="clear" w:color="auto" w:fill="F4F7F9"/>
          </w:tcPr>
          <w:p>
            <w:pPr>
              <w:spacing w:after="20" w:before="0"/>
              <w:jc w:val="center"/>
            </w:pPr>
            <w:r/>
            <w:r>
              <w:rPr>
                <w:rFonts w:ascii="Lato" w:hAnsi="Lato" w:cs="Lato"/>
                <w:b w:val="0"/>
                <w:i w:val="0"/>
                <w:color w:val="2B2F33"/>
                <w:sz w:val="16"/>
              </w:rPr>
              <w:t>Yes</w:t>
            </w:r>
          </w:p>
        </w:tc>
      </w:tr>
      <w:tr>
        <w:tc>
          <w:tcPr>
            <w:tcW w:type="dxa" w:w="737"/>
          </w:tcPr>
          <w:p>
            <w:pPr>
              <w:spacing w:after="20" w:before="0"/>
            </w:pPr>
            <w:r/>
            <w:r>
              <w:rPr>
                <w:rFonts w:ascii="Lato" w:hAnsi="Lato" w:cs="Lato"/>
                <w:b/>
                <w:i w:val="0"/>
                <w:color w:val="00648B"/>
                <w:sz w:val="16"/>
              </w:rPr>
              <w:t>B2</w:t>
            </w:r>
          </w:p>
        </w:tc>
        <w:tc>
          <w:tcPr>
            <w:tcW w:type="dxa" w:w="2381"/>
          </w:tcPr>
          <w:p>
            <w:pPr>
              <w:spacing w:after="20" w:before="0"/>
            </w:pPr>
            <w:r/>
            <w:r>
              <w:rPr>
                <w:rFonts w:ascii="Lato" w:hAnsi="Lato" w:cs="Lato"/>
                <w:b w:val="0"/>
                <w:i w:val="0"/>
                <w:color w:val="2B2F33"/>
                <w:sz w:val="16"/>
              </w:rPr>
              <w:t>Section 12 – Media Liability (additional covers)</w:t>
            </w:r>
          </w:p>
        </w:tc>
        <w:tc>
          <w:tcPr>
            <w:tcW w:type="dxa" w:w="2722"/>
          </w:tcPr>
          <w:p>
            <w:pPr>
              <w:spacing w:after="20" w:before="0"/>
            </w:pPr>
            <w:r/>
            <w:r>
              <w:rPr>
                <w:rFonts w:ascii="Lato" w:hAnsi="Lato" w:cs="Lato"/>
                <w:b w:val="0"/>
                <w:i w:val="0"/>
                <w:color w:val="2B2F33"/>
                <w:sz w:val="16"/>
              </w:rPr>
              <w:t>New cover – Representation Costs at Investigations/Inquiries</w:t>
            </w:r>
          </w:p>
        </w:tc>
        <w:tc>
          <w:tcPr>
            <w:tcW w:type="dxa" w:w="3232"/>
          </w:tcPr>
          <w:p>
            <w:pPr>
              <w:spacing w:after="20" w:before="0"/>
            </w:pPr>
            <w:r/>
            <w:r>
              <w:rPr>
                <w:rFonts w:ascii="Lato" w:hAnsi="Lato" w:cs="Lato"/>
                <w:b w:val="0"/>
                <w:i w:val="0"/>
                <w:color w:val="2B2F33"/>
                <w:sz w:val="15"/>
              </w:rPr>
              <w:t>OLD: (none — new)</w:t>
            </w:r>
          </w:p>
          <w:p>
            <w:pPr>
              <w:spacing w:after="20" w:before="0"/>
            </w:pPr>
            <w:r>
              <w:rPr>
                <w:rFonts w:ascii="Lato" w:hAnsi="Lato" w:cs="Lato"/>
                <w:b w:val="0"/>
                <w:i w:val="0"/>
                <w:color w:val="2B2F33"/>
                <w:sz w:val="15"/>
              </w:rPr>
              <w:t>NEW: GBP 25,000 aggregate (market-matched to Tysers 8.15).</w:t>
            </w:r>
          </w:p>
        </w:tc>
        <w:tc>
          <w:tcPr>
            <w:tcW w:type="dxa" w:w="850"/>
          </w:tcPr>
          <w:p>
            <w:pPr>
              <w:spacing w:after="20" w:before="0"/>
              <w:jc w:val="center"/>
            </w:pPr>
            <w:r/>
            <w:r>
              <w:rPr>
                <w:rFonts w:ascii="Lato" w:hAnsi="Lato" w:cs="Lato"/>
                <w:b w:val="0"/>
                <w:i w:val="0"/>
                <w:color w:val="2B2F33"/>
                <w:sz w:val="16"/>
              </w:rPr>
              <w:t>Yes</w:t>
            </w:r>
          </w:p>
        </w:tc>
      </w:tr>
      <w:tr>
        <w:tc>
          <w:tcPr>
            <w:tcW w:type="dxa" w:w="737"/>
            <w:shd w:val="clear" w:color="auto" w:fill="F4F7F9"/>
          </w:tcPr>
          <w:p>
            <w:pPr>
              <w:spacing w:after="20" w:before="0"/>
            </w:pPr>
            <w:r/>
            <w:r>
              <w:rPr>
                <w:rFonts w:ascii="Lato" w:hAnsi="Lato" w:cs="Lato"/>
                <w:b/>
                <w:i w:val="0"/>
                <w:color w:val="00648B"/>
                <w:sz w:val="16"/>
              </w:rPr>
              <w:t>B3</w:t>
            </w:r>
          </w:p>
        </w:tc>
        <w:tc>
          <w:tcPr>
            <w:tcW w:type="dxa" w:w="2381"/>
            <w:shd w:val="clear" w:color="auto" w:fill="F4F7F9"/>
          </w:tcPr>
          <w:p>
            <w:pPr>
              <w:spacing w:after="20" w:before="0"/>
            </w:pPr>
            <w:r/>
            <w:r>
              <w:rPr>
                <w:rFonts w:ascii="Lato" w:hAnsi="Lato" w:cs="Lato"/>
                <w:b w:val="0"/>
                <w:i w:val="0"/>
                <w:color w:val="2B2F33"/>
                <w:sz w:val="16"/>
              </w:rPr>
              <w:t>Section 12 – Media Liability (additional covers)</w:t>
            </w:r>
          </w:p>
        </w:tc>
        <w:tc>
          <w:tcPr>
            <w:tcW w:type="dxa" w:w="2722"/>
            <w:shd w:val="clear" w:color="auto" w:fill="F4F7F9"/>
          </w:tcPr>
          <w:p>
            <w:pPr>
              <w:spacing w:after="20" w:before="0"/>
            </w:pPr>
            <w:r/>
            <w:r>
              <w:rPr>
                <w:rFonts w:ascii="Lato" w:hAnsi="Lato" w:cs="Lato"/>
                <w:b w:val="0"/>
                <w:i w:val="0"/>
                <w:color w:val="2B2F33"/>
                <w:sz w:val="16"/>
              </w:rPr>
              <w:t>New cover – Journalistic Source-Protection Costs</w:t>
            </w:r>
          </w:p>
        </w:tc>
        <w:tc>
          <w:tcPr>
            <w:tcW w:type="dxa" w:w="3232"/>
            <w:shd w:val="clear" w:color="auto" w:fill="F4F7F9"/>
          </w:tcPr>
          <w:p>
            <w:pPr>
              <w:spacing w:after="20" w:before="0"/>
            </w:pPr>
            <w:r/>
            <w:r>
              <w:rPr>
                <w:rFonts w:ascii="Lato" w:hAnsi="Lato" w:cs="Lato"/>
                <w:b w:val="0"/>
                <w:i w:val="0"/>
                <w:color w:val="2B2F33"/>
                <w:sz w:val="15"/>
              </w:rPr>
              <w:t>OLD: (none — new)</w:t>
            </w:r>
          </w:p>
          <w:p>
            <w:pPr>
              <w:spacing w:after="20" w:before="0"/>
            </w:pPr>
            <w:r>
              <w:rPr>
                <w:rFonts w:ascii="Lato" w:hAnsi="Lato" w:cs="Lato"/>
                <w:b w:val="0"/>
                <w:i w:val="0"/>
                <w:color w:val="2B2F33"/>
                <w:sz w:val="15"/>
              </w:rPr>
              <w:t>NEW: Schedule sub-limit; counsel’s reasonable-grounds test; insurer consent.</w:t>
            </w:r>
          </w:p>
        </w:tc>
        <w:tc>
          <w:tcPr>
            <w:tcW w:type="dxa" w:w="850"/>
            <w:shd w:val="clear" w:color="auto" w:fill="F4F7F9"/>
          </w:tcPr>
          <w:p>
            <w:pPr>
              <w:spacing w:after="20" w:before="0"/>
              <w:jc w:val="center"/>
            </w:pPr>
            <w:r/>
            <w:r>
              <w:rPr>
                <w:rFonts w:ascii="Lato" w:hAnsi="Lato" w:cs="Lato"/>
                <w:b w:val="0"/>
                <w:i w:val="0"/>
                <w:color w:val="2B2F33"/>
                <w:sz w:val="16"/>
              </w:rPr>
              <w:t>Yes</w:t>
            </w:r>
          </w:p>
        </w:tc>
      </w:tr>
      <w:tr>
        <w:tc>
          <w:tcPr>
            <w:tcW w:type="dxa" w:w="737"/>
          </w:tcPr>
          <w:p>
            <w:pPr>
              <w:spacing w:after="20" w:before="0"/>
            </w:pPr>
            <w:r/>
            <w:r>
              <w:rPr>
                <w:rFonts w:ascii="Lato" w:hAnsi="Lato" w:cs="Lato"/>
                <w:b/>
                <w:i w:val="0"/>
                <w:color w:val="00648B"/>
                <w:sz w:val="16"/>
              </w:rPr>
              <w:t>B5</w:t>
            </w:r>
          </w:p>
        </w:tc>
        <w:tc>
          <w:tcPr>
            <w:tcW w:type="dxa" w:w="2381"/>
          </w:tcPr>
          <w:p>
            <w:pPr>
              <w:spacing w:after="20" w:before="0"/>
            </w:pPr>
            <w:r/>
            <w:r>
              <w:rPr>
                <w:rFonts w:ascii="Lato" w:hAnsi="Lato" w:cs="Lato"/>
                <w:b w:val="0"/>
                <w:i w:val="0"/>
                <w:color w:val="2B2F33"/>
                <w:sz w:val="16"/>
              </w:rPr>
              <w:t>Section 12 – Media Liability (additional covers)</w:t>
            </w:r>
          </w:p>
        </w:tc>
        <w:tc>
          <w:tcPr>
            <w:tcW w:type="dxa" w:w="2722"/>
          </w:tcPr>
          <w:p>
            <w:pPr>
              <w:spacing w:after="20" w:before="0"/>
            </w:pPr>
            <w:r/>
            <w:r>
              <w:rPr>
                <w:rFonts w:ascii="Lato" w:hAnsi="Lato" w:cs="Lato"/>
                <w:b w:val="0"/>
                <w:i w:val="0"/>
                <w:color w:val="2B2F33"/>
                <w:sz w:val="16"/>
              </w:rPr>
              <w:t>Clarification + contribution – Criminal &amp; Regulatory Defence Costs</w:t>
            </w:r>
          </w:p>
        </w:tc>
        <w:tc>
          <w:tcPr>
            <w:tcW w:type="dxa" w:w="3232"/>
          </w:tcPr>
          <w:p>
            <w:pPr>
              <w:spacing w:after="20" w:before="0"/>
            </w:pPr>
            <w:r/>
            <w:r>
              <w:rPr>
                <w:rFonts w:ascii="Lato" w:hAnsi="Lato" w:cs="Lato"/>
                <w:b w:val="0"/>
                <w:i w:val="0"/>
                <w:color w:val="2B2F33"/>
                <w:sz w:val="15"/>
              </w:rPr>
              <w:t>OLD: (none — new)</w:t>
            </w:r>
          </w:p>
          <w:p>
            <w:pPr>
              <w:spacing w:after="20" w:before="0"/>
            </w:pPr>
            <w:r>
              <w:rPr>
                <w:rFonts w:ascii="Lato" w:hAnsi="Lato" w:cs="Lato"/>
                <w:b w:val="0"/>
                <w:i w:val="0"/>
                <w:color w:val="2B2F33"/>
                <w:sz w:val="15"/>
              </w:rPr>
              <w:t>NEW: Cross-reference to S13/S14 + schedule-referenced contribution (ex fines/penalties/post-guilt).</w:t>
            </w:r>
          </w:p>
        </w:tc>
        <w:tc>
          <w:tcPr>
            <w:tcW w:type="dxa" w:w="850"/>
          </w:tcPr>
          <w:p>
            <w:pPr>
              <w:spacing w:after="20" w:before="0"/>
              <w:jc w:val="center"/>
            </w:pPr>
            <w:r/>
            <w:r>
              <w:rPr>
                <w:rFonts w:ascii="Lato" w:hAnsi="Lato" w:cs="Lato"/>
                <w:b w:val="0"/>
                <w:i w:val="0"/>
                <w:color w:val="2B2F33"/>
                <w:sz w:val="16"/>
              </w:rPr>
              <w:t>Yes</w:t>
            </w:r>
          </w:p>
        </w:tc>
      </w:tr>
      <w:tr>
        <w:tc>
          <w:tcPr>
            <w:tcW w:type="dxa" w:w="737"/>
            <w:shd w:val="clear" w:color="auto" w:fill="F4F7F9"/>
          </w:tcPr>
          <w:p>
            <w:pPr>
              <w:spacing w:after="20" w:before="0"/>
            </w:pPr>
            <w:r/>
            <w:r>
              <w:rPr>
                <w:rFonts w:ascii="Lato" w:hAnsi="Lato" w:cs="Lato"/>
                <w:b/>
                <w:i w:val="0"/>
                <w:color w:val="00648B"/>
                <w:sz w:val="16"/>
              </w:rPr>
              <w:t>B6</w:t>
            </w:r>
          </w:p>
        </w:tc>
        <w:tc>
          <w:tcPr>
            <w:tcW w:type="dxa" w:w="2381"/>
            <w:shd w:val="clear" w:color="auto" w:fill="F4F7F9"/>
          </w:tcPr>
          <w:p>
            <w:pPr>
              <w:spacing w:after="20" w:before="0"/>
            </w:pPr>
            <w:r/>
            <w:r>
              <w:rPr>
                <w:rFonts w:ascii="Lato" w:hAnsi="Lato" w:cs="Lato"/>
                <w:b w:val="0"/>
                <w:i w:val="0"/>
                <w:color w:val="2B2F33"/>
                <w:sz w:val="16"/>
              </w:rPr>
              <w:t>Section 12 – Media Liability (Extensions)</w:t>
            </w:r>
          </w:p>
        </w:tc>
        <w:tc>
          <w:tcPr>
            <w:tcW w:type="dxa" w:w="2722"/>
            <w:shd w:val="clear" w:color="auto" w:fill="F4F7F9"/>
          </w:tcPr>
          <w:p>
            <w:pPr>
              <w:spacing w:after="20" w:before="0"/>
            </w:pPr>
            <w:r/>
            <w:r>
              <w:rPr>
                <w:rFonts w:ascii="Lato" w:hAnsi="Lato" w:cs="Lato"/>
                <w:b w:val="0"/>
                <w:i w:val="0"/>
                <w:color w:val="2B2F33"/>
                <w:sz w:val="16"/>
              </w:rPr>
              <w:t>New optional – Worldwide Territory &amp; Jurisdiction</w:t>
            </w:r>
          </w:p>
        </w:tc>
        <w:tc>
          <w:tcPr>
            <w:tcW w:type="dxa" w:w="3232"/>
            <w:shd w:val="clear" w:color="auto" w:fill="F4F7F9"/>
          </w:tcPr>
          <w:p>
            <w:pPr>
              <w:spacing w:after="20" w:before="0"/>
            </w:pPr>
            <w:r/>
            <w:r>
              <w:rPr>
                <w:rFonts w:ascii="Lato" w:hAnsi="Lato" w:cs="Lato"/>
                <w:b w:val="0"/>
                <w:i w:val="0"/>
                <w:color w:val="2B2F33"/>
                <w:sz w:val="15"/>
              </w:rPr>
              <w:t>OLD: (none — new)</w:t>
            </w:r>
          </w:p>
          <w:p>
            <w:pPr>
              <w:spacing w:after="20" w:before="0"/>
            </w:pPr>
            <w:r>
              <w:rPr>
                <w:rFonts w:ascii="Lato" w:hAnsi="Lato" w:cs="Lato"/>
                <w:b w:val="0"/>
                <w:i w:val="0"/>
                <w:color w:val="2B2F33"/>
                <w:sz w:val="15"/>
              </w:rPr>
              <w:t>NEW: Schedule-selectable worldwide; USA/Canada separately selectable; default unchanged.</w:t>
            </w:r>
          </w:p>
        </w:tc>
        <w:tc>
          <w:tcPr>
            <w:tcW w:type="dxa" w:w="850"/>
            <w:shd w:val="clear" w:color="auto" w:fill="F4F7F9"/>
          </w:tcPr>
          <w:p>
            <w:pPr>
              <w:spacing w:after="20" w:before="0"/>
              <w:jc w:val="center"/>
            </w:pPr>
            <w:r/>
            <w:r>
              <w:rPr>
                <w:rFonts w:ascii="Lato" w:hAnsi="Lato" w:cs="Lato"/>
                <w:b w:val="0"/>
                <w:i w:val="0"/>
                <w:color w:val="2B2F33"/>
                <w:sz w:val="16"/>
              </w:rPr>
              <w:t>Yes</w:t>
            </w:r>
          </w:p>
        </w:tc>
      </w:tr>
      <w:tr>
        <w:tc>
          <w:tcPr>
            <w:tcW w:type="dxa" w:w="737"/>
          </w:tcPr>
          <w:p>
            <w:pPr>
              <w:spacing w:after="20" w:before="0"/>
            </w:pPr>
            <w:r/>
            <w:r>
              <w:rPr>
                <w:rFonts w:ascii="Lato" w:hAnsi="Lato" w:cs="Lato"/>
                <w:b/>
                <w:i w:val="0"/>
                <w:color w:val="00648B"/>
                <w:sz w:val="16"/>
              </w:rPr>
              <w:t>B7</w:t>
            </w:r>
          </w:p>
        </w:tc>
        <w:tc>
          <w:tcPr>
            <w:tcW w:type="dxa" w:w="2381"/>
          </w:tcPr>
          <w:p>
            <w:pPr>
              <w:spacing w:after="20" w:before="0"/>
            </w:pPr>
            <w:r/>
            <w:r>
              <w:rPr>
                <w:rFonts w:ascii="Lato" w:hAnsi="Lato" w:cs="Lato"/>
                <w:b w:val="0"/>
                <w:i w:val="0"/>
                <w:color w:val="2B2F33"/>
                <w:sz w:val="16"/>
              </w:rPr>
              <w:t>Section 12 – Media Liability (dispute clause)</w:t>
            </w:r>
          </w:p>
        </w:tc>
        <w:tc>
          <w:tcPr>
            <w:tcW w:type="dxa" w:w="2722"/>
          </w:tcPr>
          <w:p>
            <w:pPr>
              <w:spacing w:after="20" w:before="0"/>
            </w:pPr>
            <w:r/>
            <w:r>
              <w:rPr>
                <w:rFonts w:ascii="Lato" w:hAnsi="Lato" w:cs="Lato"/>
                <w:b w:val="0"/>
                <w:i w:val="0"/>
                <w:color w:val="2B2F33"/>
                <w:sz w:val="16"/>
              </w:rPr>
              <w:t>New clause – King’s Counsel determination</w:t>
            </w:r>
          </w:p>
        </w:tc>
        <w:tc>
          <w:tcPr>
            <w:tcW w:type="dxa" w:w="3232"/>
          </w:tcPr>
          <w:p>
            <w:pPr>
              <w:spacing w:after="20" w:before="0"/>
            </w:pPr>
            <w:r/>
            <w:r>
              <w:rPr>
                <w:rFonts w:ascii="Lato" w:hAnsi="Lato" w:cs="Lato"/>
                <w:b w:val="0"/>
                <w:i w:val="0"/>
                <w:color w:val="2B2F33"/>
                <w:sz w:val="15"/>
              </w:rPr>
              <w:t>OLD: (none — new)</w:t>
            </w:r>
          </w:p>
          <w:p>
            <w:pPr>
              <w:spacing w:after="20" w:before="0"/>
            </w:pPr>
            <w:r>
              <w:rPr>
                <w:rFonts w:ascii="Lato" w:hAnsi="Lato" w:cs="Lato"/>
                <w:b w:val="0"/>
                <w:i w:val="0"/>
                <w:color w:val="2B2F33"/>
                <w:sz w:val="15"/>
              </w:rPr>
              <w:t>NEW: Binding KC determination on defence/settlement disputes (Yutree-style).</w:t>
            </w:r>
          </w:p>
        </w:tc>
        <w:tc>
          <w:tcPr>
            <w:tcW w:type="dxa" w:w="850"/>
          </w:tcPr>
          <w:p>
            <w:pPr>
              <w:spacing w:after="20" w:before="0"/>
              <w:jc w:val="center"/>
            </w:pPr>
            <w:r/>
            <w:r>
              <w:rPr>
                <w:rFonts w:ascii="Lato" w:hAnsi="Lato" w:cs="Lato"/>
                <w:b w:val="0"/>
                <w:i w:val="0"/>
                <w:color w:val="2B2F33"/>
                <w:sz w:val="16"/>
              </w:rPr>
              <w:t>Yes</w:t>
            </w:r>
          </w:p>
        </w:tc>
      </w:tr>
      <w:tr>
        <w:tc>
          <w:tcPr>
            <w:tcW w:type="dxa" w:w="737"/>
            <w:shd w:val="clear" w:color="auto" w:fill="F4F7F9"/>
          </w:tcPr>
          <w:p>
            <w:pPr>
              <w:spacing w:after="20" w:before="0"/>
            </w:pPr>
            <w:r/>
            <w:r>
              <w:rPr>
                <w:rFonts w:ascii="Lato" w:hAnsi="Lato" w:cs="Lato"/>
                <w:b/>
                <w:i w:val="0"/>
                <w:color w:val="00648B"/>
                <w:sz w:val="16"/>
              </w:rPr>
              <w:t>B8</w:t>
            </w:r>
          </w:p>
        </w:tc>
        <w:tc>
          <w:tcPr>
            <w:tcW w:type="dxa" w:w="2381"/>
            <w:shd w:val="clear" w:color="auto" w:fill="F4F7F9"/>
          </w:tcPr>
          <w:p>
            <w:pPr>
              <w:spacing w:after="20" w:before="0"/>
            </w:pPr>
            <w:r/>
            <w:r>
              <w:rPr>
                <w:rFonts w:ascii="Lato" w:hAnsi="Lato" w:cs="Lato"/>
                <w:b w:val="0"/>
                <w:i w:val="0"/>
                <w:color w:val="2B2F33"/>
                <w:sz w:val="16"/>
              </w:rPr>
              <w:t>Section 12 – Media Liability (Exclusions)</w:t>
            </w:r>
          </w:p>
        </w:tc>
        <w:tc>
          <w:tcPr>
            <w:tcW w:type="dxa" w:w="2722"/>
            <w:shd w:val="clear" w:color="auto" w:fill="F4F7F9"/>
          </w:tcPr>
          <w:p>
            <w:pPr>
              <w:spacing w:after="20" w:before="0"/>
            </w:pPr>
            <w:r/>
            <w:r>
              <w:rPr>
                <w:rFonts w:ascii="Lato" w:hAnsi="Lato" w:cs="Lato"/>
                <w:b w:val="0"/>
                <w:i w:val="0"/>
                <w:color w:val="2B2F33"/>
                <w:sz w:val="16"/>
              </w:rPr>
              <w:t>Write-back – Seepage &amp; Pollution (negligent advice)</w:t>
            </w:r>
          </w:p>
        </w:tc>
        <w:tc>
          <w:tcPr>
            <w:tcW w:type="dxa" w:w="3232"/>
            <w:shd w:val="clear" w:color="auto" w:fill="F4F7F9"/>
          </w:tcPr>
          <w:p>
            <w:pPr>
              <w:spacing w:after="20" w:before="0"/>
            </w:pPr>
            <w:r/>
            <w:r>
              <w:rPr>
                <w:rFonts w:ascii="Lato" w:hAnsi="Lato" w:cs="Lato"/>
                <w:b w:val="0"/>
                <w:i w:val="0"/>
                <w:color w:val="2B2F33"/>
                <w:sz w:val="15"/>
              </w:rPr>
              <w:t>OLD: (none — new proviso)</w:t>
            </w:r>
          </w:p>
          <w:p>
            <w:pPr>
              <w:spacing w:after="20" w:before="0"/>
            </w:pPr>
            <w:r>
              <w:rPr>
                <w:rFonts w:ascii="Lato" w:hAnsi="Lato" w:cs="Lato"/>
                <w:b w:val="0"/>
                <w:i w:val="0"/>
                <w:color w:val="2B2F33"/>
                <w:sz w:val="15"/>
              </w:rPr>
              <w:t>NEW: Narrow negligent-advice write-back; BI/PD/clean-up excluded; schedule sub-limit.</w:t>
            </w:r>
          </w:p>
        </w:tc>
        <w:tc>
          <w:tcPr>
            <w:tcW w:type="dxa" w:w="850"/>
            <w:shd w:val="clear" w:color="auto" w:fill="F4F7F9"/>
          </w:tcPr>
          <w:p>
            <w:pPr>
              <w:spacing w:after="20" w:before="0"/>
              <w:jc w:val="center"/>
            </w:pPr>
            <w:r/>
            <w:r>
              <w:rPr>
                <w:rFonts w:ascii="Lato" w:hAnsi="Lato" w:cs="Lato"/>
                <w:b w:val="0"/>
                <w:i w:val="0"/>
                <w:color w:val="2B2F33"/>
                <w:sz w:val="16"/>
              </w:rPr>
              <w:t>Yes</w:t>
            </w:r>
          </w:p>
        </w:tc>
      </w:tr>
    </w:tbl>
    <w:p>
      <w:pPr>
        <w:spacing w:after="120"/>
      </w:pPr>
    </w:p>
    <w:p>
      <w:pPr>
        <w:keepNext/>
        <w:spacing w:before="280" w:after="40"/>
        <w:pBdr>
          <w:bottom w:val="single" w:sz="8" w:space="2" w:color="B88A3C"/>
        </w:pBdr>
      </w:pPr>
      <w:r>
        <w:rPr>
          <w:rFonts w:ascii="Lato" w:hAnsi="Lato" w:cs="Lato"/>
          <w:b/>
          <w:i w:val="0"/>
          <w:color w:val="00648B"/>
          <w:sz w:val="30"/>
        </w:rPr>
        <w:t>4  Part A results</w:t>
      </w:r>
    </w:p>
    <w:tbl>
      <w:tblPr>
        <w:tblW w:type="dxa" w:w="9922"/>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268"/>
        <w:gridCol w:w="7654"/>
      </w:tblGrid>
      <w:tr>
        <w:tc>
          <w:tcPr>
            <w:tcW w:type="dxa" w:w="2268"/>
            <w:shd w:val="clear" w:color="auto" w:fill="00648B"/>
          </w:tcPr>
          <w:p>
            <w:pPr>
              <w:spacing w:after="20" w:before="0"/>
              <w:jc w:val="center"/>
            </w:pPr>
            <w:r/>
            <w:r>
              <w:rPr>
                <w:rFonts w:ascii="Lato" w:hAnsi="Lato" w:cs="Lato"/>
                <w:b/>
                <w:i w:val="0"/>
                <w:color w:val="FFFFFF"/>
                <w:sz w:val="17"/>
              </w:rPr>
              <w:t>Item</w:t>
            </w:r>
          </w:p>
        </w:tc>
        <w:tc>
          <w:tcPr>
            <w:tcW w:type="dxa" w:w="7654"/>
            <w:shd w:val="clear" w:color="auto" w:fill="00648B"/>
          </w:tcPr>
          <w:p>
            <w:pPr>
              <w:spacing w:after="20" w:before="0"/>
              <w:jc w:val="center"/>
            </w:pPr>
            <w:r/>
            <w:r>
              <w:rPr>
                <w:rFonts w:ascii="Lato" w:hAnsi="Lato" w:cs="Lato"/>
                <w:b/>
                <w:i w:val="0"/>
                <w:color w:val="FFFFFF"/>
                <w:sz w:val="17"/>
              </w:rPr>
              <w:t>Result</w:t>
            </w:r>
          </w:p>
        </w:tc>
      </w:tr>
      <w:tr>
        <w:tc>
          <w:tcPr>
            <w:tcW w:type="dxa" w:w="2268"/>
          </w:tcPr>
          <w:p>
            <w:pPr>
              <w:spacing w:after="20" w:before="0"/>
            </w:pPr>
            <w:r/>
            <w:r>
              <w:rPr>
                <w:rFonts w:ascii="Lato" w:hAnsi="Lato" w:cs="Lato"/>
                <w:b/>
                <w:i w:val="0"/>
                <w:color w:val="00648B"/>
                <w:sz w:val="16"/>
              </w:rPr>
              <w:t>A1 · Artists' Equipment extension (Section 2)</w:t>
            </w:r>
          </w:p>
        </w:tc>
        <w:tc>
          <w:tcPr>
            <w:tcW w:type="dxa" w:w="7654"/>
          </w:tcPr>
          <w:p>
            <w:pPr>
              <w:spacing w:after="20" w:before="0"/>
            </w:pPr>
            <w:r/>
            <w:r>
              <w:rPr>
                <w:rFonts w:ascii="Lato" w:hAnsi="Lato" w:cs="Lato"/>
                <w:b w:val="0"/>
                <w:i w:val="0"/>
                <w:color w:val="2B2F33"/>
                <w:sz w:val="16"/>
              </w:rPr>
              <w:t>Confirmed – no change — No change — confirmed present and correctly placed. NOT duplicated.</w:t>
            </w:r>
          </w:p>
        </w:tc>
      </w:tr>
      <w:tr>
        <w:tc>
          <w:tcPr>
            <w:tcW w:type="dxa" w:w="2268"/>
            <w:shd w:val="clear" w:color="auto" w:fill="F4F7F9"/>
          </w:tcPr>
          <w:p>
            <w:pPr>
              <w:spacing w:after="20" w:before="0"/>
            </w:pPr>
            <w:r/>
            <w:r>
              <w:rPr>
                <w:rFonts w:ascii="Lato" w:hAnsi="Lato" w:cs="Lato"/>
                <w:b/>
                <w:i w:val="0"/>
                <w:color w:val="00648B"/>
                <w:sz w:val="16"/>
              </w:rPr>
              <w:t>A2 · Stock and merchandise (Section 2)</w:t>
            </w:r>
          </w:p>
        </w:tc>
        <w:tc>
          <w:tcPr>
            <w:tcW w:type="dxa" w:w="7654"/>
            <w:shd w:val="clear" w:color="auto" w:fill="F4F7F9"/>
          </w:tcPr>
          <w:p>
            <w:pPr>
              <w:spacing w:after="20" w:before="0"/>
            </w:pPr>
            <w:r/>
            <w:r>
              <w:rPr>
                <w:rFonts w:ascii="Lato" w:hAnsi="Lato" w:cs="Lato"/>
                <w:b w:val="0"/>
                <w:i w:val="0"/>
                <w:color w:val="2B2F33"/>
                <w:sz w:val="16"/>
              </w:rPr>
              <w:t>Confirmed – no change — No change — merchandise held for sale is already within “Stock”.</w:t>
            </w:r>
          </w:p>
        </w:tc>
      </w:tr>
      <w:tr>
        <w:tc>
          <w:tcPr>
            <w:tcW w:type="dxa" w:w="2268"/>
          </w:tcPr>
          <w:p>
            <w:pPr>
              <w:spacing w:after="20" w:before="0"/>
            </w:pPr>
            <w:r/>
            <w:r>
              <w:rPr>
                <w:rFonts w:ascii="Lato" w:hAnsi="Lato" w:cs="Lato"/>
                <w:b/>
                <w:i w:val="0"/>
                <w:color w:val="00648B"/>
                <w:sz w:val="16"/>
              </w:rPr>
              <w:t>A3 · Data recovery from old Section 4</w:t>
            </w:r>
          </w:p>
        </w:tc>
        <w:tc>
          <w:tcPr>
            <w:tcW w:type="dxa" w:w="7654"/>
          </w:tcPr>
          <w:p>
            <w:pPr>
              <w:spacing w:after="20" w:before="0"/>
            </w:pPr>
            <w:r/>
            <w:r>
              <w:rPr>
                <w:rFonts w:ascii="Lato" w:hAnsi="Lato" w:cs="Lato"/>
                <w:b w:val="0"/>
                <w:i w:val="0"/>
                <w:color w:val="2B2F33"/>
                <w:sz w:val="16"/>
              </w:rPr>
              <w:t>Confirmed – no change — No change — treatment preserved faithfully; nothing to reinstate (no duplicate created).</w:t>
            </w:r>
          </w:p>
        </w:tc>
      </w:tr>
      <w:tr>
        <w:tc>
          <w:tcPr>
            <w:tcW w:type="dxa" w:w="2268"/>
            <w:shd w:val="clear" w:color="auto" w:fill="F4F7F9"/>
          </w:tcPr>
          <w:p>
            <w:pPr>
              <w:spacing w:after="20" w:before="0"/>
            </w:pPr>
            <w:r/>
            <w:r>
              <w:rPr>
                <w:rFonts w:ascii="Lato" w:hAnsi="Lato" w:cs="Lato"/>
                <w:b/>
                <w:i w:val="0"/>
                <w:color w:val="00648B"/>
                <w:sz w:val="16"/>
              </w:rPr>
              <w:t>A4 · Touring / music-activity money (Section 8)</w:t>
            </w:r>
          </w:p>
        </w:tc>
        <w:tc>
          <w:tcPr>
            <w:tcW w:type="dxa" w:w="7654"/>
            <w:shd w:val="clear" w:color="auto" w:fill="F4F7F9"/>
          </w:tcPr>
          <w:p>
            <w:pPr>
              <w:spacing w:after="20" w:before="0"/>
            </w:pPr>
            <w:r/>
            <w:r>
              <w:rPr>
                <w:rFonts w:ascii="Lato" w:hAnsi="Lato" w:cs="Lato"/>
                <w:b w:val="0"/>
                <w:i w:val="0"/>
                <w:color w:val="2B2F33"/>
                <w:sz w:val="16"/>
              </w:rPr>
              <w:t>ADDED (tracked) – figure cannot be determined; underwriting to set — ADDED as a discrete tracked change. Sub-limit set as SCHEDULE-REFERENCED (‘the sum stated in the Schedule against this Extension’). The attached entertainment competitor wordings (Tysers, Yutree) write their Money cover on a SCHEDULE-DRIVEN basis with no fixed ‘touring money’ figure, so a specific market-highest figure CANNOT BE DETERMINED and has not been invented — underwriting to set the figure.</w:t>
            </w:r>
          </w:p>
        </w:tc>
      </w:tr>
      <w:tr>
        <w:tc>
          <w:tcPr>
            <w:tcW w:type="dxa" w:w="2268"/>
          </w:tcPr>
          <w:p>
            <w:pPr>
              <w:spacing w:after="20" w:before="0"/>
            </w:pPr>
            <w:r/>
            <w:r>
              <w:rPr>
                <w:rFonts w:ascii="Lato" w:hAnsi="Lato" w:cs="Lato"/>
                <w:b/>
                <w:i w:val="0"/>
                <w:color w:val="00648B"/>
                <w:sz w:val="16"/>
              </w:rPr>
              <w:t>A5 · Employee definition — breadth vs Yutree &amp; Tysers</w:t>
            </w:r>
          </w:p>
        </w:tc>
        <w:tc>
          <w:tcPr>
            <w:tcW w:type="dxa" w:w="7654"/>
          </w:tcPr>
          <w:p>
            <w:pPr>
              <w:spacing w:after="20" w:before="0"/>
            </w:pPr>
            <w:r/>
            <w:r>
              <w:rPr>
                <w:rFonts w:ascii="Lato" w:hAnsi="Lato" w:cs="Lato"/>
                <w:b w:val="0"/>
                <w:i w:val="0"/>
                <w:color w:val="2B2F33"/>
                <w:sz w:val="16"/>
              </w:rPr>
              <w:t>BROADENED (tracked) – Section 13 only — BROADENED the Section 13 definition (discrete tracked change, old text deleted / new inserted) to be at least as wide as Tysers &amp; Yutree and consistent with the general Sections 1–11 definition. Tysers (General Definitions, p.9) and Yutree (‘Employed person’, p.88) verified from the attached wordings. The general S1–11, S12 and S14 definitions already meet/exceed the competitors — left unchanged for internal consistency.</w:t>
            </w:r>
          </w:p>
        </w:tc>
      </w:tr>
      <w:tr>
        <w:tc>
          <w:tcPr>
            <w:tcW w:type="dxa" w:w="2268"/>
            <w:shd w:val="clear" w:color="auto" w:fill="F4F7F9"/>
          </w:tcPr>
          <w:p>
            <w:pPr>
              <w:spacing w:after="20" w:before="0"/>
            </w:pPr>
            <w:r/>
            <w:r>
              <w:rPr>
                <w:rFonts w:ascii="Lato" w:hAnsi="Lato" w:cs="Lato"/>
                <w:b/>
                <w:i w:val="0"/>
                <w:color w:val="00648B"/>
                <w:sz w:val="16"/>
              </w:rPr>
              <w:t>A6 · Cyber / Computer System definition consistency (S12 vs S15)</w:t>
            </w:r>
          </w:p>
        </w:tc>
        <w:tc>
          <w:tcPr>
            <w:tcW w:type="dxa" w:w="7654"/>
            <w:shd w:val="clear" w:color="auto" w:fill="F4F7F9"/>
          </w:tcPr>
          <w:p>
            <w:pPr>
              <w:spacing w:after="20" w:before="0"/>
            </w:pPr>
            <w:r/>
            <w:r>
              <w:rPr>
                <w:rFonts w:ascii="Lato" w:hAnsi="Lato" w:cs="Lato"/>
                <w:b w:val="0"/>
                <w:i w:val="0"/>
                <w:color w:val="2B2F33"/>
                <w:sz w:val="16"/>
              </w:rPr>
              <w:t>ALIGNED (tracked) – SIGN-OFF (Section 12) — ALIGNED — the Section 12 ‘Computer System’ definition has been replaced (discrete tracked change, old deleted / new inserted) with a broad definition consistent with Section 15 / the property endorsement, expressly stated to be construed consistently with Section 15. Virus (S12) and the cyber triggers were reviewed and are substantively consistent; no further change required. ALL SECTION 12 CHANGES REQUIRE LEGAL/UNDERWRITING SIGN-OFF.</w:t>
            </w:r>
          </w:p>
        </w:tc>
      </w:tr>
    </w:tbl>
    <w:p>
      <w:pPr>
        <w:spacing w:after="120"/>
      </w:pPr>
    </w:p>
    <w:p>
      <w:pPr>
        <w:keepNext/>
        <w:spacing w:before="280" w:after="40"/>
        <w:pBdr>
          <w:bottom w:val="single" w:sz="8" w:space="2" w:color="B88A3C"/>
        </w:pBdr>
      </w:pPr>
      <w:r>
        <w:rPr>
          <w:rFonts w:ascii="Lato" w:hAnsi="Lato" w:cs="Lato"/>
          <w:b/>
          <w:i w:val="0"/>
          <w:color w:val="00648B"/>
          <w:sz w:val="30"/>
        </w:rPr>
        <w:t>5  Gap &amp; sub-limit summary</w:t>
      </w:r>
    </w:p>
    <w:p>
      <w:pPr>
        <w:pStyle w:val="ListBullet"/>
        <w:spacing w:after="40"/>
        <w:ind w:left="340"/>
      </w:pPr>
      <w:r>
        <w:rPr>
          <w:rFonts w:ascii="Lato" w:hAnsi="Lato" w:cs="Lato"/>
          <w:b/>
          <w:i w:val="0"/>
          <w:color w:val="00648B"/>
          <w:sz w:val="19"/>
        </w:rPr>
        <w:t xml:space="preserve">Gaps reviewed:  </w:t>
      </w:r>
      <w:r>
        <w:rPr>
          <w:rFonts w:ascii="Lato" w:hAnsi="Lato" w:cs="Lato"/>
          <w:b w:val="0"/>
          <w:i w:val="0"/>
          <w:color w:val="2B2F33"/>
          <w:sz w:val="19"/>
        </w:rPr>
        <w:t>12</w:t>
      </w:r>
    </w:p>
    <w:p>
      <w:pPr>
        <w:pStyle w:val="ListBullet"/>
        <w:spacing w:after="40"/>
        <w:ind w:left="340"/>
      </w:pPr>
      <w:r>
        <w:rPr>
          <w:rFonts w:ascii="Lato" w:hAnsi="Lato" w:cs="Lato"/>
          <w:b/>
          <w:i w:val="0"/>
          <w:color w:val="00648B"/>
          <w:sz w:val="19"/>
        </w:rPr>
        <w:t xml:space="preserve">Gaps bridged (discrete tracked change):  </w:t>
      </w:r>
      <w:r>
        <w:rPr>
          <w:rFonts w:ascii="Lato" w:hAnsi="Lato" w:cs="Lato"/>
          <w:b w:val="0"/>
          <w:i w:val="0"/>
          <w:color w:val="2B2F33"/>
          <w:sz w:val="19"/>
        </w:rPr>
        <w:t>7</w:t>
      </w:r>
    </w:p>
    <w:p>
      <w:pPr>
        <w:pStyle w:val="ListBullet"/>
        <w:spacing w:after="40"/>
        <w:ind w:left="340"/>
      </w:pPr>
      <w:r>
        <w:rPr>
          <w:rFonts w:ascii="Lato" w:hAnsi="Lato" w:cs="Lato"/>
          <w:b/>
          <w:i w:val="0"/>
          <w:color w:val="00648B"/>
          <w:sz w:val="19"/>
        </w:rPr>
        <w:t xml:space="preserve">Gaps parked (wording provided, not applied):  </w:t>
      </w:r>
      <w:r>
        <w:rPr>
          <w:rFonts w:ascii="Lato" w:hAnsi="Lato" w:cs="Lato"/>
          <w:b w:val="0"/>
          <w:i w:val="0"/>
          <w:color w:val="2B2F33"/>
          <w:sz w:val="19"/>
        </w:rPr>
        <w:t>2</w:t>
      </w:r>
    </w:p>
    <w:p>
      <w:pPr>
        <w:pStyle w:val="ListBullet"/>
        <w:spacing w:after="40"/>
        <w:ind w:left="340"/>
      </w:pPr>
      <w:r>
        <w:rPr>
          <w:rFonts w:ascii="Lato" w:hAnsi="Lato" w:cs="Lato"/>
          <w:b/>
          <w:i w:val="0"/>
          <w:color w:val="00648B"/>
          <w:sz w:val="19"/>
        </w:rPr>
        <w:t xml:space="preserve">Gaps excluded by instruction (Personal Accident &amp; Travel):  </w:t>
      </w:r>
      <w:r>
        <w:rPr>
          <w:rFonts w:ascii="Lato" w:hAnsi="Lato" w:cs="Lato"/>
          <w:b w:val="0"/>
          <w:i w:val="0"/>
          <w:color w:val="2B2F33"/>
          <w:sz w:val="19"/>
        </w:rPr>
        <w:t>1</w:t>
      </w:r>
    </w:p>
    <w:p>
      <w:pPr>
        <w:pStyle w:val="ListBullet"/>
        <w:spacing w:after="40"/>
        <w:ind w:left="340"/>
      </w:pPr>
      <w:r>
        <w:rPr>
          <w:rFonts w:ascii="Lato" w:hAnsi="Lato" w:cs="Lato"/>
          <w:b/>
          <w:i w:val="0"/>
          <w:color w:val="00648B"/>
          <w:sz w:val="19"/>
        </w:rPr>
        <w:t xml:space="preserve">Gaps already met (no change):  </w:t>
      </w:r>
      <w:r>
        <w:rPr>
          <w:rFonts w:ascii="Lato" w:hAnsi="Lato" w:cs="Lato"/>
          <w:b w:val="0"/>
          <w:i w:val="0"/>
          <w:color w:val="2B2F33"/>
          <w:sz w:val="19"/>
        </w:rPr>
        <w:t>2</w:t>
      </w:r>
    </w:p>
    <w:p>
      <w:pPr>
        <w:pStyle w:val="ListBullet"/>
        <w:spacing w:after="40"/>
        <w:ind w:left="340"/>
      </w:pPr>
      <w:r>
        <w:rPr>
          <w:rFonts w:ascii="Lato" w:hAnsi="Lato" w:cs="Lato"/>
          <w:b/>
          <w:i w:val="0"/>
          <w:color w:val="00648B"/>
          <w:sz w:val="19"/>
        </w:rPr>
        <w:t xml:space="preserve">New sub-limited covers added (set to evidenced market figure):  </w:t>
      </w:r>
      <w:r>
        <w:rPr>
          <w:rFonts w:ascii="Lato" w:hAnsi="Lato" w:cs="Lato"/>
          <w:b w:val="0"/>
          <w:i w:val="0"/>
          <w:color w:val="2B2F33"/>
          <w:sz w:val="19"/>
        </w:rPr>
        <w:t>3</w:t>
      </w:r>
    </w:p>
    <w:p>
      <w:pPr>
        <w:pStyle w:val="ListBullet"/>
        <w:spacing w:after="40"/>
        <w:ind w:left="340"/>
      </w:pPr>
      <w:r>
        <w:rPr>
          <w:rFonts w:ascii="Lato" w:hAnsi="Lato" w:cs="Lato"/>
          <w:b/>
          <w:i w:val="0"/>
          <w:color w:val="00648B"/>
          <w:sz w:val="19"/>
        </w:rPr>
        <w:t xml:space="preserve">Existing TMHCC sub-limits raised:  </w:t>
      </w:r>
      <w:r>
        <w:rPr>
          <w:rFonts w:ascii="Lato" w:hAnsi="Lato" w:cs="Lato"/>
          <w:b w:val="0"/>
          <w:i w:val="0"/>
          <w:color w:val="2B2F33"/>
          <w:sz w:val="19"/>
        </w:rPr>
        <w:t>0 — TMHCC already meets/exceeds evidenced figures or is schedule-driven</w:t>
      </w:r>
    </w:p>
    <w:p>
      <w:pPr>
        <w:pStyle w:val="ListBullet"/>
        <w:spacing w:after="40"/>
        <w:ind w:left="340"/>
      </w:pPr>
      <w:r>
        <w:rPr>
          <w:rFonts w:ascii="Lato" w:hAnsi="Lato" w:cs="Lato"/>
          <w:b/>
          <w:i w:val="0"/>
          <w:color w:val="00648B"/>
          <w:sz w:val="19"/>
        </w:rPr>
        <w:t xml:space="preserve">Sub-limits that cannot be determined (no attached figure):  </w:t>
      </w:r>
      <w:r>
        <w:rPr>
          <w:rFonts w:ascii="Lato" w:hAnsi="Lato" w:cs="Lato"/>
          <w:b w:val="0"/>
          <w:i w:val="0"/>
          <w:color w:val="2B2F33"/>
          <w:sz w:val="19"/>
        </w:rPr>
        <w:t>flagged in Part C; none invented, none lowered</w:t>
      </w:r>
    </w:p>
    <w:p>
      <w:pPr>
        <w:keepNext/>
        <w:spacing w:before="280" w:after="40"/>
        <w:pBdr>
          <w:bottom w:val="single" w:sz="8" w:space="2" w:color="B88A3C"/>
        </w:pBdr>
      </w:pPr>
      <w:r>
        <w:rPr>
          <w:rFonts w:ascii="Lato" w:hAnsi="Lato" w:cs="Lato"/>
          <w:b/>
          <w:i w:val="0"/>
          <w:color w:val="00648B"/>
          <w:sz w:val="30"/>
        </w:rPr>
        <w:t>6  Items awaiting legal / underwriting sign-off (Section 12)</w:t>
      </w:r>
    </w:p>
    <w:p>
      <w:pPr>
        <w:pStyle w:val="ListBullet"/>
        <w:spacing w:after="40"/>
        <w:ind w:left="340"/>
      </w:pPr>
      <w:r>
        <w:rPr>
          <w:rFonts w:ascii="Lato" w:hAnsi="Lato" w:cs="Lato"/>
          <w:b/>
          <w:i w:val="0"/>
          <w:color w:val="00648B"/>
          <w:sz w:val="19"/>
        </w:rPr>
        <w:t xml:space="preserve">Computer System definition alignment (A6):  </w:t>
      </w:r>
      <w:r>
        <w:rPr>
          <w:rFonts w:ascii="Lato" w:hAnsi="Lato" w:cs="Lato"/>
          <w:b w:val="0"/>
          <w:i w:val="0"/>
          <w:color w:val="2B2F33"/>
          <w:sz w:val="19"/>
        </w:rPr>
        <w:t>Definition amendment — Align S12 to the broad S15 definition.</w:t>
      </w:r>
    </w:p>
    <w:p>
      <w:pPr>
        <w:pStyle w:val="ListBullet"/>
        <w:spacing w:after="40"/>
        <w:ind w:left="340"/>
      </w:pPr>
      <w:r>
        <w:rPr>
          <w:rFonts w:ascii="Lato" w:hAnsi="Lato" w:cs="Lato"/>
          <w:b/>
          <w:i w:val="0"/>
          <w:color w:val="00648B"/>
          <w:sz w:val="19"/>
        </w:rPr>
        <w:t xml:space="preserve">Distributors &amp; Purchasers (B1):  </w:t>
      </w:r>
      <w:r>
        <w:rPr>
          <w:rFonts w:ascii="Lato" w:hAnsi="Lato" w:cs="Lato"/>
          <w:b w:val="0"/>
          <w:i w:val="0"/>
          <w:color w:val="2B2F33"/>
          <w:sz w:val="19"/>
        </w:rPr>
        <w:t>New cover — 5× Indemnity Limit aggregate exposure.</w:t>
      </w:r>
    </w:p>
    <w:p>
      <w:pPr>
        <w:pStyle w:val="ListBullet"/>
        <w:spacing w:after="40"/>
        <w:ind w:left="340"/>
      </w:pPr>
      <w:r>
        <w:rPr>
          <w:rFonts w:ascii="Lato" w:hAnsi="Lato" w:cs="Lato"/>
          <w:b/>
          <w:i w:val="0"/>
          <w:color w:val="00648B"/>
          <w:sz w:val="19"/>
        </w:rPr>
        <w:t xml:space="preserve">Worldwide / USA-Canada territory option (B5/Gap 2):  </w:t>
      </w:r>
      <w:r>
        <w:rPr>
          <w:rFonts w:ascii="Lato" w:hAnsi="Lato" w:cs="Lato"/>
          <w:b w:val="0"/>
          <w:i w:val="0"/>
          <w:color w:val="2B2F33"/>
          <w:sz w:val="19"/>
        </w:rPr>
        <w:t>Schedule-selectable option — Material territory/jurisdiction broadening if selected.</w:t>
      </w:r>
    </w:p>
    <w:p>
      <w:pPr>
        <w:pStyle w:val="ListBullet"/>
        <w:spacing w:after="40"/>
        <w:ind w:left="340"/>
      </w:pPr>
      <w:r>
        <w:rPr>
          <w:rFonts w:ascii="Lato" w:hAnsi="Lato" w:cs="Lato"/>
          <w:b/>
          <w:i w:val="0"/>
          <w:color w:val="00648B"/>
          <w:sz w:val="19"/>
        </w:rPr>
        <w:t xml:space="preserve">Journalistic Source-Protection Costs (B3):  </w:t>
      </w:r>
      <w:r>
        <w:rPr>
          <w:rFonts w:ascii="Lato" w:hAnsi="Lato" w:cs="Lato"/>
          <w:b w:val="0"/>
          <w:i w:val="0"/>
          <w:color w:val="2B2F33"/>
          <w:sz w:val="19"/>
        </w:rPr>
        <w:t>New cover — Small sub-limit; editorial/news relevance.</w:t>
      </w:r>
    </w:p>
    <w:p>
      <w:pPr>
        <w:pStyle w:val="ListBullet"/>
        <w:spacing w:after="40"/>
        <w:ind w:left="340"/>
      </w:pPr>
      <w:r>
        <w:rPr>
          <w:rFonts w:ascii="Lato" w:hAnsi="Lato" w:cs="Lato"/>
          <w:b/>
          <w:i w:val="0"/>
          <w:color w:val="00648B"/>
          <w:sz w:val="19"/>
        </w:rPr>
        <w:t xml:space="preserve">Representation Costs at Investigations/Inquiries (B2):  </w:t>
      </w:r>
      <w:r>
        <w:rPr>
          <w:rFonts w:ascii="Lato" w:hAnsi="Lato" w:cs="Lato"/>
          <w:b w:val="0"/>
          <w:i w:val="0"/>
          <w:color w:val="2B2F33"/>
          <w:sz w:val="19"/>
        </w:rPr>
        <w:t>New cover — GBP 25k market-matched.</w:t>
      </w:r>
    </w:p>
    <w:p>
      <w:pPr>
        <w:pStyle w:val="ListBullet"/>
        <w:spacing w:after="40"/>
        <w:ind w:left="340"/>
      </w:pPr>
      <w:r>
        <w:rPr>
          <w:rFonts w:ascii="Lato" w:hAnsi="Lato" w:cs="Lato"/>
          <w:b/>
          <w:i w:val="0"/>
          <w:color w:val="00648B"/>
          <w:sz w:val="19"/>
        </w:rPr>
        <w:t xml:space="preserve">Criminal &amp; Regulatory Defence Costs (B4):  </w:t>
      </w:r>
      <w:r>
        <w:rPr>
          <w:rFonts w:ascii="Lato" w:hAnsi="Lato" w:cs="Lato"/>
          <w:b w:val="0"/>
          <w:i w:val="0"/>
          <w:color w:val="2B2F33"/>
          <w:sz w:val="19"/>
        </w:rPr>
        <w:t>Clarification + contribution — Cross-ref S13/S14; capped contribution.</w:t>
      </w:r>
    </w:p>
    <w:p>
      <w:pPr>
        <w:pStyle w:val="ListBullet"/>
        <w:spacing w:after="40"/>
        <w:ind w:left="340"/>
      </w:pPr>
      <w:r>
        <w:rPr>
          <w:rFonts w:ascii="Lato" w:hAnsi="Lato" w:cs="Lato"/>
          <w:b/>
          <w:i w:val="0"/>
          <w:color w:val="00648B"/>
          <w:sz w:val="19"/>
        </w:rPr>
        <w:t xml:space="preserve">King’s Counsel determination clause (B6):  </w:t>
      </w:r>
      <w:r>
        <w:rPr>
          <w:rFonts w:ascii="Lato" w:hAnsi="Lato" w:cs="Lato"/>
          <w:b w:val="0"/>
          <w:i w:val="0"/>
          <w:color w:val="2B2F33"/>
          <w:sz w:val="19"/>
        </w:rPr>
        <w:t>Condition amendment — Procedural dispute-resolution upgrade.</w:t>
      </w:r>
    </w:p>
    <w:p>
      <w:pPr>
        <w:pStyle w:val="ListBullet"/>
        <w:spacing w:after="40"/>
        <w:ind w:left="340"/>
      </w:pPr>
      <w:r>
        <w:rPr>
          <w:rFonts w:ascii="Lato" w:hAnsi="Lato" w:cs="Lato"/>
          <w:b/>
          <w:i w:val="0"/>
          <w:color w:val="00648B"/>
          <w:sz w:val="19"/>
        </w:rPr>
        <w:t xml:space="preserve">Seepage &amp; Pollution negligent-advice write-back (B7):  </w:t>
      </w:r>
      <w:r>
        <w:rPr>
          <w:rFonts w:ascii="Lato" w:hAnsi="Lato" w:cs="Lato"/>
          <w:b w:val="0"/>
          <w:i w:val="0"/>
          <w:color w:val="2B2F33"/>
          <w:sz w:val="19"/>
        </w:rPr>
        <w:t>Exclusion write-back — Ring-fenced to negligent advice.</w:t>
      </w:r>
    </w:p>
    <w:p>
      <w:pPr>
        <w:keepNext/>
        <w:spacing w:before="280" w:after="40"/>
        <w:pBdr>
          <w:bottom w:val="single" w:sz="8" w:space="2" w:color="B88A3C"/>
        </w:pBdr>
      </w:pPr>
      <w:r>
        <w:rPr>
          <w:rFonts w:ascii="Lato" w:hAnsi="Lato" w:cs="Lato"/>
          <w:b/>
          <w:i w:val="0"/>
          <w:color w:val="00648B"/>
          <w:sz w:val="30"/>
        </w:rPr>
        <w:t>7  Final QA checklist</w:t>
      </w:r>
    </w:p>
    <w:p>
      <w:pPr>
        <w:pStyle w:val="ListBullet"/>
        <w:spacing w:after="40"/>
        <w:ind w:left="340"/>
      </w:pPr>
      <w:r>
        <w:rPr>
          <w:rFonts w:ascii="Lato" w:hAnsi="Lato" w:cs="Lato"/>
          <w:b w:val="0"/>
          <w:i w:val="0"/>
          <w:color w:val="2B2F33"/>
          <w:sz w:val="19"/>
        </w:rPr>
        <w:t>Existing tracked changes accepted before new edits — Yes.</w:t>
      </w:r>
    </w:p>
    <w:p>
      <w:pPr>
        <w:pStyle w:val="ListBullet"/>
        <w:spacing w:after="40"/>
        <w:ind w:left="340"/>
      </w:pPr>
      <w:r>
        <w:rPr>
          <w:rFonts w:ascii="Lato" w:hAnsi="Lato" w:cs="Lato"/>
          <w:b w:val="0"/>
          <w:i w:val="0"/>
          <w:color w:val="2B2F33"/>
          <w:sz w:val="19"/>
        </w:rPr>
        <w:t>New edits shown as fresh, discrete tracked changes — Yes (10 amendments).</w:t>
      </w:r>
    </w:p>
    <w:p>
      <w:pPr>
        <w:pStyle w:val="ListBullet"/>
        <w:spacing w:after="40"/>
        <w:ind w:left="340"/>
      </w:pPr>
      <w:r>
        <w:rPr>
          <w:rFonts w:ascii="Lato" w:hAnsi="Lato" w:cs="Lato"/>
          <w:b w:val="0"/>
          <w:i w:val="0"/>
          <w:color w:val="2B2F33"/>
          <w:sz w:val="19"/>
        </w:rPr>
        <w:t>Clean final version produced — Yes.</w:t>
      </w:r>
    </w:p>
    <w:p>
      <w:pPr>
        <w:pStyle w:val="ListBullet"/>
        <w:spacing w:after="40"/>
        <w:ind w:left="340"/>
      </w:pPr>
      <w:r>
        <w:rPr>
          <w:rFonts w:ascii="Lato" w:hAnsi="Lato" w:cs="Lato"/>
          <w:b w:val="0"/>
          <w:i w:val="0"/>
          <w:color w:val="2B2F33"/>
          <w:sz w:val="19"/>
        </w:rPr>
        <w:t>Part A verified-then-actioned: A1 not duplicated; A2 confirmed; A3 not duplicated (nothing lost); A4 touring money added; A5 Employee broadened; A6 cyber definitions aligned.</w:t>
      </w:r>
    </w:p>
    <w:p>
      <w:pPr>
        <w:pStyle w:val="ListBullet"/>
        <w:spacing w:after="40"/>
        <w:ind w:left="340"/>
      </w:pPr>
      <w:r>
        <w:rPr>
          <w:rFonts w:ascii="Lato" w:hAnsi="Lato" w:cs="Lato"/>
          <w:b w:val="0"/>
          <w:i w:val="0"/>
          <w:color w:val="2B2F33"/>
          <w:sz w:val="19"/>
        </w:rPr>
        <w:t>Gap analysis granular (clause/definition level) and bridges every genuine gap except Personal Accident and Travel.</w:t>
      </w:r>
    </w:p>
    <w:p>
      <w:pPr>
        <w:pStyle w:val="ListBullet"/>
        <w:spacing w:after="40"/>
        <w:ind w:left="340"/>
      </w:pPr>
      <w:r>
        <w:rPr>
          <w:rFonts w:ascii="Lato" w:hAnsi="Lato" w:cs="Lato"/>
          <w:b w:val="0"/>
          <w:i w:val="0"/>
          <w:color w:val="2B2F33"/>
          <w:sz w:val="19"/>
        </w:rPr>
        <w:t>Sub-limits raised to market-highest where evidenced; un-evidenced flagged, not invented or lowered.</w:t>
      </w:r>
    </w:p>
    <w:p>
      <w:pPr>
        <w:pStyle w:val="ListBullet"/>
        <w:spacing w:after="40"/>
        <w:ind w:left="340"/>
      </w:pPr>
      <w:r>
        <w:rPr>
          <w:rFonts w:ascii="Lato" w:hAnsi="Lato" w:cs="Lato"/>
          <w:b w:val="0"/>
          <w:i w:val="0"/>
          <w:color w:val="2B2F33"/>
          <w:sz w:val="19"/>
        </w:rPr>
        <w:t>Section 12 amendments flagged for sign-off; cyber definitions aligned §12/§15.</w:t>
      </w:r>
    </w:p>
    <w:p>
      <w:pPr>
        <w:pStyle w:val="ListBullet"/>
        <w:spacing w:after="40"/>
        <w:ind w:left="340"/>
      </w:pPr>
      <w:r>
        <w:rPr>
          <w:rFonts w:ascii="Lato" w:hAnsi="Lato" w:cs="Lato"/>
          <w:b w:val="0"/>
          <w:i w:val="0"/>
          <w:color w:val="2B2F33"/>
          <w:sz w:val="19"/>
        </w:rPr>
        <w:t>Gap analysis is a SEPARATE document; the Coverage Comparison is client/broker-facing and contains no gap content.</w:t>
      </w:r>
    </w:p>
    <w:p>
      <w:pPr>
        <w:pStyle w:val="ListBullet"/>
        <w:spacing w:after="40"/>
        <w:ind w:left="340"/>
      </w:pPr>
      <w:r>
        <w:rPr>
          <w:rFonts w:ascii="Lato" w:hAnsi="Lato" w:cs="Lato"/>
          <w:b w:val="0"/>
          <w:i w:val="0"/>
          <w:color w:val="2B2F33"/>
          <w:sz w:val="19"/>
        </w:rPr>
        <w:t>Summary of Changes vs 0223C produced; Summary of Cover updated to final wording only.</w:t>
      </w:r>
    </w:p>
    <w:p>
      <w:pPr>
        <w:pStyle w:val="ListBullet"/>
        <w:spacing w:after="40"/>
        <w:ind w:left="340"/>
      </w:pPr>
      <w:r>
        <w:rPr>
          <w:rFonts w:ascii="Lato" w:hAnsi="Lato" w:cs="Lato"/>
          <w:b w:val="0"/>
          <w:i w:val="0"/>
          <w:color w:val="2B2F33"/>
          <w:sz w:val="19"/>
        </w:rPr>
        <w:t>No Personal Accident, no Travel added; Personal Assault under Money preserved and distinct.</w:t>
      </w:r>
    </w:p>
    <w:p>
      <w:pPr>
        <w:pStyle w:val="ListBullet"/>
        <w:spacing w:after="40"/>
        <w:ind w:left="340"/>
      </w:pPr>
      <w:r>
        <w:rPr>
          <w:rFonts w:ascii="Lato" w:hAnsi="Lato" w:cs="Lato"/>
          <w:b w:val="0"/>
          <w:i w:val="0"/>
          <w:color w:val="2B2F33"/>
          <w:sz w:val="19"/>
        </w:rPr>
        <w:t>Branding / layout / hyperlinks / numbering intact.</w:t>
      </w:r>
    </w:p>
    <w:p>
      <w:pPr>
        <w:pStyle w:val="ListBullet"/>
        <w:spacing w:after="40"/>
        <w:ind w:left="340"/>
      </w:pPr>
      <w:r>
        <w:rPr>
          <w:rFonts w:ascii="Lato" w:hAnsi="Lato" w:cs="Lato"/>
          <w:b w:val="0"/>
          <w:i w:val="0"/>
          <w:color w:val="2B2F33"/>
          <w:sz w:val="19"/>
        </w:rPr>
        <w:t>All UNCONFIRMED / cannot-determine items recorded in Reviewer notes.</w:t>
      </w:r>
    </w:p>
    <w:p>
      <w:pPr>
        <w:keepNext/>
        <w:spacing w:before="280" w:after="40"/>
        <w:pBdr>
          <w:bottom w:val="single" w:sz="8" w:space="2" w:color="B88A3C"/>
        </w:pBdr>
      </w:pPr>
      <w:r>
        <w:rPr>
          <w:rFonts w:ascii="Lato" w:hAnsi="Lato" w:cs="Lato"/>
          <w:b/>
          <w:i w:val="0"/>
          <w:color w:val="00648B"/>
          <w:sz w:val="30"/>
        </w:rPr>
        <w:t>8  Reviewer notes / UNCONFIRMED</w:t>
      </w:r>
    </w:p>
    <w:p>
      <w:pPr>
        <w:pStyle w:val="ListBullet"/>
        <w:spacing w:after="40"/>
        <w:ind w:left="340"/>
      </w:pPr>
      <w:r>
        <w:rPr>
          <w:rFonts w:ascii="Lato" w:hAnsi="Lato" w:cs="Lato"/>
          <w:b w:val="0"/>
          <w:i w:val="0"/>
          <w:color w:val="2B2F33"/>
          <w:sz w:val="19"/>
        </w:rPr>
        <w:t>ALL Section 12 (Media Liability) amendments are applied as discrete tracked changes but REQUIRE legal/underwriting sign-off before acceptance (A6, B1–B7).</w:t>
      </w:r>
    </w:p>
    <w:p>
      <w:pPr>
        <w:pStyle w:val="ListBullet"/>
        <w:spacing w:after="40"/>
        <w:ind w:left="340"/>
      </w:pPr>
      <w:r>
        <w:rPr>
          <w:rFonts w:ascii="Lato" w:hAnsi="Lato" w:cs="Lato"/>
          <w:b w:val="0"/>
          <w:i w:val="0"/>
          <w:color w:val="2B2F33"/>
          <w:sz w:val="19"/>
        </w:rPr>
        <w:t>A4 Touring/Entertainment Money: a specific market-highest figure CANNOT BE DETERMINED — the attached entertainment competitor wordings write Money cover on a schedule-driven basis. Sub-limit left schedule-referenced; underwriting to set the figure.</w:t>
      </w:r>
    </w:p>
    <w:p>
      <w:pPr>
        <w:pStyle w:val="ListBullet"/>
        <w:spacing w:after="40"/>
        <w:ind w:left="340"/>
      </w:pPr>
      <w:r>
        <w:rPr>
          <w:rFonts w:ascii="Lato" w:hAnsi="Lato" w:cs="Lato"/>
          <w:b w:val="0"/>
          <w:i w:val="0"/>
          <w:color w:val="2B2F33"/>
          <w:sz w:val="19"/>
        </w:rPr>
        <w:t>PART C sub-limit harmonisation: TMHCC already meets or exceeds every evidenced competitor numeric sub-limit, or is schedule-driven (broker-set). No existing TMHCC sub-limit was raised because no attached competitor figure is demonstrably higher for the same benefit; none was invented and none was lowered.</w:t>
      </w:r>
    </w:p>
    <w:p>
      <w:pPr>
        <w:pStyle w:val="ListBullet"/>
        <w:spacing w:after="40"/>
        <w:ind w:left="340"/>
      </w:pPr>
      <w:r>
        <w:rPr>
          <w:rFonts w:ascii="Lato" w:hAnsi="Lato" w:cs="Lato"/>
          <w:b w:val="0"/>
          <w:i w:val="0"/>
          <w:color w:val="2B2F33"/>
          <w:sz w:val="19"/>
        </w:rPr>
        <w:t>A5 Employee: Tysers (p.9) and Yutree (‘Employed person’, p.88) definitions verified from the attached wordings. The general Sections 1–11, S12 and S14 definitions already meet/exceed them; only the narrow Section 13 definition was broadened.</w:t>
      </w:r>
    </w:p>
    <w:p>
      <w:pPr>
        <w:pStyle w:val="ListBullet"/>
        <w:spacing w:after="40"/>
        <w:ind w:left="340"/>
      </w:pPr>
      <w:r>
        <w:rPr>
          <w:rFonts w:ascii="Lato" w:hAnsi="Lato" w:cs="Lato"/>
          <w:b w:val="0"/>
          <w:i w:val="0"/>
          <w:color w:val="2B2F33"/>
          <w:sz w:val="19"/>
        </w:rPr>
        <w:t>Patent infringement (Gap 8) deliberately left excluded; Asbestos negligent-advice write-back (Gap 9) parked for consideration with proposed wording — neither applied.</w:t>
      </w:r>
    </w:p>
    <w:p>
      <w:pPr>
        <w:pStyle w:val="ListBullet"/>
        <w:spacing w:after="40"/>
        <w:ind w:left="340"/>
      </w:pPr>
      <w:r>
        <w:rPr>
          <w:rFonts w:ascii="Lato" w:hAnsi="Lato" w:cs="Lato"/>
          <w:b w:val="0"/>
          <w:i w:val="0"/>
          <w:color w:val="2B2F33"/>
          <w:sz w:val="19"/>
        </w:rPr>
        <w:t>Personal Accident and Travel deliberately NOT added (per instruction). Personal Assault under the Money section (S8, Sub-Section 2) is distinct and retained unchanged.</w:t>
      </w:r>
    </w:p>
    <w:p>
      <w:pPr>
        <w:pStyle w:val="ListBullet"/>
        <w:spacing w:after="40"/>
        <w:ind w:left="340"/>
      </w:pPr>
      <w:r>
        <w:rPr>
          <w:rFonts w:ascii="Lato" w:hAnsi="Lato" w:cs="Lato"/>
          <w:b w:val="0"/>
          <w:i w:val="0"/>
          <w:color w:val="2B2F33"/>
          <w:sz w:val="19"/>
        </w:rPr>
        <w:t>‘Market-leading’/‘highest-in-market’ statements are supported by the five attached competitor wordings. Items that could not be traced to an attached wording are labelled CANNOT-DETERMINE / UNCONFIRMED above.</w:t>
      </w:r>
    </w:p>
    <w:sectPr w:rsidR="00FC693F" w:rsidRPr="0006063C" w:rsidSect="00034616">
      <w:headerReference w:type="default" r:id="rId9"/>
      <w:footerReference w:type="default" r:id="rId10"/>
      <w:pgSz w:w="11906" w:h="16838"/>
      <w:pgMar w:top="964" w:right="964" w:bottom="964"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Lato" w:hAnsi="Lato" w:cs="Lato"/>
        <w:b w:val="0"/>
        <w:i/>
        <w:color w:val="AEB4B8"/>
        <w:sz w:val="13"/>
      </w:rPr>
      <w:t>QA / change report. Internal. Tracked-change wording subject to TMHCC legal / underwriting sign-off.</w:t>
    </w:r>
  </w:p>
  <w:p>
    <w:pPr>
      <w:jc w:val="center"/>
    </w:pPr>
    <w:r>
      <w:rPr>
        <w:rFonts w:ascii="Lato" w:hAnsi="Lato" w:cs="Lato"/>
        <w:b w:val="0"/>
        <w:i w:val="0"/>
        <w:color w:val="6C7378"/>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pct" w:w="5000"/>
      <w:jc w:val="center"/>
      <w:tblBorders>
        <w:top w:val="none"/>
        <w:left w:val="none"/>
        <w:bottom w:val="none"/>
        <w:right w:val="none"/>
        <w:insideH w:val="none"/>
        <w:insideV w:val="none"/>
      </w:tblBorders>
      <w:tblLayout w:type="fixed"/>
      <w:tblLook w:firstColumn="1" w:firstRow="1" w:lastColumn="0" w:lastRow="0" w:noHBand="0" w:noVBand="1" w:val="04A0"/>
    </w:tblPr>
    <w:tblGrid>
      <w:gridCol w:w="4989"/>
      <w:gridCol w:w="4989"/>
    </w:tblGrid>
    <w:tr>
      <w:tc>
        <w:tcPr>
          <w:tcW w:type="dxa" w:w="7384"/>
          <w:vAlign w:val="center"/>
        </w:tcPr>
        <w:p>
          <w:pPr>
            <w:spacing w:after="0"/>
          </w:pPr>
          <w:r>
            <w:rPr>
              <w:rFonts w:ascii="Lato" w:hAnsi="Lato" w:cs="Lato"/>
              <w:b/>
              <w:i w:val="0"/>
              <w:color w:val="6C7378"/>
              <w:sz w:val="16"/>
            </w:rPr>
            <w:t>TMHCC Media &amp; Entertainment — QA</w:t>
          </w:r>
        </w:p>
      </w:tc>
      <w:tc>
        <w:tcPr>
          <w:tcW w:type="dxa" w:w="2594"/>
        </w:tcPr>
        <w:p>
          <w:pPr>
            <w:jc w:val="right"/>
          </w:pPr>
          <w:r>
            <w:drawing>
              <wp:inline xmlns:a="http://schemas.openxmlformats.org/drawingml/2006/main" xmlns:pic="http://schemas.openxmlformats.org/drawingml/2006/picture">
                <wp:extent cx="329906" cy="306000"/>
                <wp:docPr id="1" name="Picture 1"/>
                <wp:cNvGraphicFramePr>
                  <a:graphicFrameLocks noChangeAspect="1"/>
                </wp:cNvGraphicFramePr>
                <a:graphic>
                  <a:graphicData uri="http://schemas.openxmlformats.org/drawingml/2006/picture">
                    <pic:pic>
                      <pic:nvPicPr>
                        <pic:cNvPr id="0" name="tmhcc_logo.png"/>
                        <pic:cNvPicPr/>
                      </pic:nvPicPr>
                      <pic:blipFill>
                        <a:blip r:embed="rId1"/>
                        <a:stretch>
                          <a:fillRect/>
                        </a:stretch>
                      </pic:blipFill>
                      <pic:spPr>
                        <a:xfrm>
                          <a:off x="0" y="0"/>
                          <a:ext cx="329906" cy="306000"/>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ato" w:hAnsi="Lato" w:cs="Lato"/>
      <w:color w:val="2B2F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