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 xml:space="preserve">Summary of Cover </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15 Sections of Cover – Property, Liability, Production &amp; Media</w:t>
      </w:r>
    </w:p>
    <w:p w14:paraId="52DC5286" w14:textId="77777777" w:rsidR="00E75E61" w:rsidRPr="00E75E61" w:rsidRDefault="00E75E61" w:rsidP="00EE667D">
      <w:pPr>
        <w:pStyle w:val="Subtitle"/>
      </w:pPr>
      <w:r>
        <w:t>Including new Management Liability and Cyber sections</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TMHCC Media Combined 0526</w:t>
      </w:r>
    </w:p>
    <w:p>
      <w:pPr>
        <w:spacing w:after="120" w:before="0"/>
      </w:pPr>
      <w:r>
        <w:rPr>
          <w:rFonts w:ascii="Arial" w:hAnsi="Arial" w:cs="Arial"/>
          <w:b/>
          <w:i w:val="0"/>
          <w:color w:val="C79000"/>
          <w:sz w:val="22"/>
        </w:rPr>
        <w:t>SUMMARY OF COVER</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Important notice / basis of this summary.  </w:t>
            </w:r>
            <w:r>
              <w:rPr>
                <w:rFonts w:ascii="Arial" w:hAnsi="Arial" w:cs="Arial"/>
                <w:b w:val="0"/>
                <w:i w:val="0"/>
                <w:color w:val="212121"/>
                <w:sz w:val="20"/>
              </w:rPr>
              <w:t>This Summary of Cover is intended as a high-level guide only. It does not replace the policy wording, schedule, endorsements or any specific terms, conditions, exclusions, limits or excesses that apply. Cover is provided only for those Sections shown as operative in the Schedule and is subject in all respects to the full policy wording. You should read the policy, Schedule and any endorsements for full details of the terms and conditions. This Policy is a commercial insurance product designed for business customers and is not suitable for consumers.</w:t>
            </w:r>
          </w:p>
        </w:tc>
      </w:tr>
    </w:tbl>
    <w:p>
      <w:pPr>
        <w:spacing w:after="80" w:before="0"/>
      </w:pPr>
    </w:p>
    <w:p>
      <w:pPr>
        <w:pStyle w:val="Heading1"/>
        <w:spacing w:before="280" w:after="80"/>
      </w:pPr>
      <w:r>
        <w:rPr>
          <w:rFonts w:ascii="Arial" w:hAnsi="Arial" w:cs="Arial"/>
          <w:b/>
          <w:i w:val="0"/>
          <w:color w:val="009CE5"/>
          <w:sz w:val="30"/>
        </w:rPr>
        <w:t>WHO THIS POLICY IS DESIGNED FOR</w:t>
      </w:r>
    </w:p>
    <w:p>
      <w:pPr>
        <w:spacing w:after="120" w:before="0"/>
      </w:pPr>
      <w:r>
        <w:rPr>
          <w:rFonts w:ascii="Arial" w:hAnsi="Arial" w:cs="Arial"/>
          <w:b w:val="0"/>
          <w:i w:val="0"/>
          <w:sz w:val="20"/>
        </w:rPr>
        <w:t>The Media and Music Combined Insurance Policy 0526 is a non-consumer commercial package designed for businesses operating in the media, music, production, events and creative sectors (and associated commercial activities). It combines property, business interruption, liability, production, media and management/cyber covers in one policy, underwritten by Tokio Marine HCC (with Section 13 underwritten by ARAG and Section 15 provided under the CyberGuard™ wording).</w:t>
      </w:r>
    </w:p>
    <w:p>
      <w:pPr>
        <w:pStyle w:val="Heading1"/>
        <w:spacing w:before="280" w:after="80"/>
      </w:pPr>
      <w:r>
        <w:rPr>
          <w:rFonts w:ascii="Arial" w:hAnsi="Arial" w:cs="Arial"/>
          <w:b/>
          <w:i w:val="0"/>
          <w:color w:val="009CE5"/>
          <w:sz w:val="30"/>
        </w:rPr>
        <w:t>HOW THIS POLICY IS STRUCTURED</w:t>
      </w:r>
    </w:p>
    <w:p>
      <w:pPr>
        <w:spacing w:after="120" w:before="0"/>
      </w:pPr>
      <w:r>
        <w:rPr>
          <w:rFonts w:ascii="Arial" w:hAnsi="Arial" w:cs="Arial"/>
          <w:b w:val="0"/>
          <w:i w:val="0"/>
          <w:sz w:val="20"/>
        </w:rPr>
        <w:t>The policy is made up of 15 Sections. General Policy Definitions, Conditions and Exclusions apply across the policy; each Section also has its own specialist definitions, extensions, conditions, exclusions and limits. Only the Sections shown as operative in the Schedule are in force, and all cover is subject to the sums insured, limits, sub-limits and excesses stated in the Schedule.</w:t>
      </w:r>
    </w:p>
    <w:p>
      <w:pPr>
        <w:pStyle w:val="Heading1"/>
        <w:spacing w:before="280" w:after="80"/>
      </w:pPr>
      <w:r>
        <w:rPr>
          <w:rFonts w:ascii="Arial" w:hAnsi="Arial" w:cs="Arial"/>
          <w:b/>
          <w:i w:val="0"/>
          <w:color w:val="009CE5"/>
          <w:sz w:val="30"/>
        </w:rPr>
        <w:t>MAIN COVERS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400"/>
            <w:shd w:val="clear" w:color="auto" w:fill="009CE5"/>
          </w:tcPr>
          <w:p>
            <w:pPr>
              <w:spacing w:after="20" w:before="20"/>
            </w:pPr>
            <w:r/>
            <w:r>
              <w:rPr>
                <w:rFonts w:ascii="Arial" w:hAnsi="Arial" w:cs="Arial"/>
                <w:b/>
                <w:i w:val="0"/>
                <w:color w:val="FFFFFF"/>
                <w:sz w:val="18"/>
              </w:rPr>
              <w:t>Section</w:t>
            </w:r>
          </w:p>
        </w:tc>
        <w:tc>
          <w:tcPr>
            <w:tcW w:type="dxa" w:w="5400"/>
            <w:shd w:val="clear" w:color="auto" w:fill="009CE5"/>
          </w:tcPr>
          <w:p>
            <w:pPr>
              <w:spacing w:after="20" w:before="20"/>
            </w:pPr>
            <w:r/>
            <w:r>
              <w:rPr>
                <w:rFonts w:ascii="Arial" w:hAnsi="Arial" w:cs="Arial"/>
                <w:b/>
                <w:i w:val="0"/>
                <w:color w:val="FFFFFF"/>
                <w:sz w:val="18"/>
              </w:rPr>
              <w:t>Cover provided</w:t>
            </w:r>
          </w:p>
        </w:tc>
        <w:tc>
          <w:tcPr>
            <w:tcW w:type="dxa" w:w="1900"/>
            <w:shd w:val="clear" w:color="auto" w:fill="009CE5"/>
          </w:tcPr>
          <w:p>
            <w:pPr>
              <w:spacing w:after="20" w:before="20"/>
            </w:pPr>
            <w:r/>
            <w:r>
              <w:rPr>
                <w:rFonts w:ascii="Arial" w:hAnsi="Arial" w:cs="Arial"/>
                <w:b/>
                <w:i w:val="0"/>
                <w:color w:val="FFFFFF"/>
                <w:sz w:val="18"/>
              </w:rPr>
              <w:t>Basis</w:t>
            </w:r>
          </w:p>
        </w:tc>
      </w:tr>
      <w:tr>
        <w:tc>
          <w:tcPr>
            <w:tcW w:type="dxa" w:w="2400"/>
          </w:tcPr>
          <w:p>
            <w:pPr>
              <w:spacing w:after="20" w:before="20"/>
            </w:pPr>
            <w:r/>
            <w:r>
              <w:rPr>
                <w:rFonts w:ascii="Arial" w:hAnsi="Arial" w:cs="Arial"/>
                <w:b w:val="0"/>
                <w:i w:val="0"/>
                <w:color w:val="212121"/>
                <w:sz w:val="18"/>
              </w:rPr>
              <w:t>1  Business “All Risks” (Premises)</w:t>
            </w:r>
          </w:p>
        </w:tc>
        <w:tc>
          <w:tcPr>
            <w:tcW w:type="dxa" w:w="5400"/>
          </w:tcPr>
          <w:p>
            <w:pPr>
              <w:spacing w:after="20" w:before="20"/>
            </w:pPr>
            <w:r/>
            <w:r>
              <w:rPr>
                <w:rFonts w:ascii="Arial" w:hAnsi="Arial" w:cs="Arial"/>
                <w:b w:val="0"/>
                <w:i w:val="0"/>
                <w:color w:val="212121"/>
                <w:sz w:val="18"/>
              </w:rPr>
              <w:t>Property at the premises, incl. IT equipment &amp; breakdown</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2  Property &amp; Equipment “All Risks”</w:t>
            </w:r>
          </w:p>
        </w:tc>
        <w:tc>
          <w:tcPr>
            <w:tcW w:type="dxa" w:w="5400"/>
          </w:tcPr>
          <w:p>
            <w:pPr>
              <w:spacing w:after="20" w:before="20"/>
            </w:pPr>
            <w:r/>
            <w:r>
              <w:rPr>
                <w:rFonts w:ascii="Arial" w:hAnsi="Arial" w:cs="Arial"/>
                <w:b w:val="0"/>
                <w:i w:val="0"/>
                <w:color w:val="212121"/>
                <w:sz w:val="18"/>
              </w:rPr>
              <w:t>Technical/production equipment &amp; specified articles, worldwide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3  Business Interruption “All Risks”</w:t>
            </w:r>
          </w:p>
        </w:tc>
        <w:tc>
          <w:tcPr>
            <w:tcW w:type="dxa" w:w="5400"/>
          </w:tcPr>
          <w:p>
            <w:pPr>
              <w:spacing w:after="20" w:before="20"/>
            </w:pPr>
            <w:r/>
            <w:r>
              <w:rPr>
                <w:rFonts w:ascii="Arial" w:hAnsi="Arial" w:cs="Arial"/>
                <w:b w:val="0"/>
                <w:i w:val="0"/>
                <w:color w:val="212121"/>
                <w:sz w:val="18"/>
              </w:rPr>
              <w:t>Loss of income/increased cost of working after an Incident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4  Terrorism</w:t>
            </w:r>
          </w:p>
        </w:tc>
        <w:tc>
          <w:tcPr>
            <w:tcW w:type="dxa" w:w="5400"/>
          </w:tcPr>
          <w:p>
            <w:pPr>
              <w:spacing w:after="20" w:before="20"/>
            </w:pPr>
            <w:r/>
            <w:r>
              <w:rPr>
                <w:rFonts w:ascii="Arial" w:hAnsi="Arial" w:cs="Arial"/>
                <w:b w:val="0"/>
                <w:i w:val="0"/>
                <w:color w:val="212121"/>
                <w:sz w:val="18"/>
              </w:rPr>
              <w:t>Property damage &amp; BI caused by Terrorism (if operative)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5  Employers’ Liability</w:t>
            </w:r>
          </w:p>
        </w:tc>
        <w:tc>
          <w:tcPr>
            <w:tcW w:type="dxa" w:w="5400"/>
          </w:tcPr>
          <w:p>
            <w:pPr>
              <w:spacing w:after="20" w:before="20"/>
            </w:pPr>
            <w:r/>
            <w:r>
              <w:rPr>
                <w:rFonts w:ascii="Arial" w:hAnsi="Arial" w:cs="Arial"/>
                <w:b w:val="0"/>
                <w:i w:val="0"/>
                <w:color w:val="212121"/>
                <w:sz w:val="18"/>
              </w:rPr>
              <w:t>Injury/disease to employees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6  Public Liability</w:t>
            </w:r>
          </w:p>
        </w:tc>
        <w:tc>
          <w:tcPr>
            <w:tcW w:type="dxa" w:w="5400"/>
          </w:tcPr>
          <w:p>
            <w:pPr>
              <w:spacing w:after="20" w:before="20"/>
            </w:pPr>
            <w:r/>
            <w:r>
              <w:rPr>
                <w:rFonts w:ascii="Arial" w:hAnsi="Arial" w:cs="Arial"/>
                <w:b w:val="0"/>
                <w:i w:val="0"/>
                <w:color w:val="212121"/>
                <w:sz w:val="18"/>
              </w:rPr>
              <w:t>Injury/damage to third parties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7  Products Liability</w:t>
            </w:r>
          </w:p>
        </w:tc>
        <w:tc>
          <w:tcPr>
            <w:tcW w:type="dxa" w:w="5400"/>
          </w:tcPr>
          <w:p>
            <w:pPr>
              <w:spacing w:after="20" w:before="20"/>
            </w:pPr>
            <w:r/>
            <w:r>
              <w:rPr>
                <w:rFonts w:ascii="Arial" w:hAnsi="Arial" w:cs="Arial"/>
                <w:b w:val="0"/>
                <w:i w:val="0"/>
                <w:color w:val="212121"/>
                <w:sz w:val="18"/>
              </w:rPr>
              <w:t>Injury/damage caused by products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8  Money</w:t>
            </w:r>
          </w:p>
        </w:tc>
        <w:tc>
          <w:tcPr>
            <w:tcW w:type="dxa" w:w="5400"/>
          </w:tcPr>
          <w:p>
            <w:pPr>
              <w:spacing w:after="20" w:before="20"/>
            </w:pPr>
            <w:r/>
            <w:r>
              <w:rPr>
                <w:rFonts w:ascii="Arial" w:hAnsi="Arial" w:cs="Arial"/>
                <w:b w:val="0"/>
                <w:i w:val="0"/>
                <w:color w:val="212121"/>
                <w:sz w:val="18"/>
              </w:rPr>
              <w:t>Money loss &amp; personal assault benefits</w:t>
            </w:r>
          </w:p>
        </w:tc>
        <w:tc>
          <w:tcPr>
            <w:tcW w:type="dxa" w:w="1900"/>
          </w:tcPr>
          <w:p>
            <w:pPr>
              <w:spacing w:after="20" w:before="20"/>
            </w:pPr>
            <w:r/>
            <w:r>
              <w:rPr>
                <w:rFonts w:ascii="Arial" w:hAnsi="Arial" w:cs="Arial"/>
                <w:b w:val="0"/>
                <w:i w:val="0"/>
                <w:color w:val="212121"/>
                <w:sz w:val="18"/>
              </w:rPr>
              <w:t>Loss/Benefit</w:t>
            </w:r>
          </w:p>
        </w:tc>
      </w:tr>
      <w:tr>
        <w:tc>
          <w:tcPr>
            <w:tcW w:type="dxa" w:w="2400"/>
          </w:tcPr>
          <w:p>
            <w:pPr>
              <w:spacing w:after="20" w:before="20"/>
            </w:pPr>
            <w:r/>
            <w:r>
              <w:rPr>
                <w:rFonts w:ascii="Arial" w:hAnsi="Arial" w:cs="Arial"/>
                <w:b w:val="0"/>
                <w:i w:val="0"/>
                <w:color w:val="212121"/>
                <w:sz w:val="18"/>
              </w:rPr>
              <w:t>9  Goods in Transit</w:t>
            </w:r>
          </w:p>
        </w:tc>
        <w:tc>
          <w:tcPr>
            <w:tcW w:type="dxa" w:w="5400"/>
          </w:tcPr>
          <w:p>
            <w:pPr>
              <w:spacing w:after="20" w:before="20"/>
            </w:pPr>
            <w:r/>
            <w:r>
              <w:rPr>
                <w:rFonts w:ascii="Arial" w:hAnsi="Arial" w:cs="Arial"/>
                <w:b w:val="0"/>
                <w:i w:val="0"/>
                <w:color w:val="212121"/>
                <w:sz w:val="18"/>
              </w:rPr>
              <w:t>Damage to goods in transit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10  Loss of Licence</w:t>
            </w:r>
          </w:p>
        </w:tc>
        <w:tc>
          <w:tcPr>
            <w:tcW w:type="dxa" w:w="5400"/>
          </w:tcPr>
          <w:p>
            <w:pPr>
              <w:spacing w:after="20" w:before="20"/>
            </w:pPr>
            <w:r/>
            <w:r>
              <w:rPr>
                <w:rFonts w:ascii="Arial" w:hAnsi="Arial" w:cs="Arial"/>
                <w:b w:val="0"/>
                <w:i w:val="0"/>
                <w:color w:val="212121"/>
                <w:sz w:val="18"/>
              </w:rPr>
              <w:t>Loss of trade value/profit on loss of licence</w:t>
            </w:r>
          </w:p>
        </w:tc>
        <w:tc>
          <w:tcPr>
            <w:tcW w:type="dxa" w:w="1900"/>
          </w:tcPr>
          <w:p>
            <w:pPr>
              <w:spacing w:after="20" w:before="20"/>
            </w:pPr>
            <w:r/>
            <w:r>
              <w:rPr>
                <w:rFonts w:ascii="Arial" w:hAnsi="Arial" w:cs="Arial"/>
                <w:b w:val="0"/>
                <w:i w:val="0"/>
                <w:color w:val="212121"/>
                <w:sz w:val="18"/>
              </w:rPr>
              <w:t>Loss</w:t>
            </w:r>
          </w:p>
        </w:tc>
      </w:tr>
      <w:tr>
        <w:tc>
          <w:tcPr>
            <w:tcW w:type="dxa" w:w="2400"/>
          </w:tcPr>
          <w:p>
            <w:pPr>
              <w:spacing w:after="20" w:before="20"/>
            </w:pPr>
            <w:r/>
            <w:r>
              <w:rPr>
                <w:rFonts w:ascii="Arial" w:hAnsi="Arial" w:cs="Arial"/>
                <w:b w:val="0"/>
                <w:i w:val="0"/>
                <w:color w:val="212121"/>
                <w:sz w:val="18"/>
              </w:rPr>
              <w:t>11  Production Indemnity “All Risks”</w:t>
            </w:r>
          </w:p>
        </w:tc>
        <w:tc>
          <w:tcPr>
            <w:tcW w:type="dxa" w:w="5400"/>
          </w:tcPr>
          <w:p>
            <w:pPr>
              <w:spacing w:after="20" w:before="20"/>
            </w:pPr>
            <w:r/>
            <w:r>
              <w:rPr>
                <w:rFonts w:ascii="Arial" w:hAnsi="Arial" w:cs="Arial"/>
                <w:b w:val="0"/>
                <w:i w:val="0"/>
                <w:color w:val="212121"/>
                <w:sz w:val="18"/>
              </w:rPr>
              <w:t>Production cost loss / interruption / abandonment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12  Media Liability</w:t>
            </w:r>
          </w:p>
        </w:tc>
        <w:tc>
          <w:tcPr>
            <w:tcW w:type="dxa" w:w="5400"/>
          </w:tcPr>
          <w:p>
            <w:pPr>
              <w:spacing w:after="20" w:before="20"/>
            </w:pPr>
            <w:r/>
            <w:r>
              <w:rPr>
                <w:rFonts w:ascii="Arial" w:hAnsi="Arial" w:cs="Arial"/>
                <w:b w:val="0"/>
                <w:i w:val="0"/>
                <w:color w:val="212121"/>
                <w:sz w:val="18"/>
              </w:rPr>
              <w:t>Defamation, IP, privacy &amp; media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13  Commercial Legal Expenses</w:t>
            </w:r>
          </w:p>
        </w:tc>
        <w:tc>
          <w:tcPr>
            <w:tcW w:type="dxa" w:w="5400"/>
          </w:tcPr>
          <w:p>
            <w:pPr>
              <w:spacing w:after="20" w:before="20"/>
            </w:pPr>
            <w:r/>
            <w:r>
              <w:rPr>
                <w:rFonts w:ascii="Arial" w:hAnsi="Arial" w:cs="Arial"/>
                <w:b w:val="0"/>
                <w:i w:val="0"/>
                <w:color w:val="212121"/>
                <w:sz w:val="18"/>
              </w:rPr>
              <w:t>Legal costs for insured events (ARAG)</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14  Management Liability</w:t>
            </w:r>
          </w:p>
        </w:tc>
        <w:tc>
          <w:tcPr>
            <w:tcW w:type="dxa" w:w="5400"/>
          </w:tcPr>
          <w:p>
            <w:pPr>
              <w:spacing w:after="20" w:before="20"/>
            </w:pPr>
            <w:r/>
            <w:r>
              <w:rPr>
                <w:rFonts w:ascii="Arial" w:hAnsi="Arial" w:cs="Arial"/>
                <w:b w:val="0"/>
                <w:i w:val="0"/>
                <w:color w:val="212121"/>
                <w:sz w:val="18"/>
              </w:rPr>
              <w:t>Directors’, officers’ &amp; corporate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15  CyberGuard™ (Cyber Liability)</w:t>
            </w:r>
          </w:p>
        </w:tc>
        <w:tc>
          <w:tcPr>
            <w:tcW w:type="dxa" w:w="5400"/>
          </w:tcPr>
          <w:p>
            <w:pPr>
              <w:spacing w:after="20" w:before="20"/>
            </w:pPr>
            <w:r/>
            <w:r>
              <w:rPr>
                <w:rFonts w:ascii="Arial" w:hAnsi="Arial" w:cs="Arial"/>
                <w:b w:val="0"/>
                <w:i w:val="0"/>
                <w:color w:val="212121"/>
                <w:sz w:val="18"/>
              </w:rPr>
              <w:t>First &amp; third-party cyber cover</w:t>
            </w:r>
          </w:p>
        </w:tc>
        <w:tc>
          <w:tcPr>
            <w:tcW w:type="dxa" w:w="1900"/>
          </w:tcPr>
          <w:p>
            <w:pPr>
              <w:spacing w:after="20" w:before="20"/>
            </w:pPr>
            <w:r/>
            <w:r>
              <w:rPr>
                <w:rFonts w:ascii="Arial" w:hAnsi="Arial" w:cs="Arial"/>
                <w:b w:val="0"/>
                <w:i w:val="0"/>
                <w:color w:val="212121"/>
                <w:sz w:val="18"/>
              </w:rPr>
              <w:t>Claims-made/Discovered</w:t>
            </w:r>
          </w:p>
        </w:tc>
      </w:tr>
    </w:tbl>
    <w:p>
      <w:pPr>
        <w:spacing w:after="80" w:before="0"/>
      </w:pPr>
    </w:p>
    <w:p>
      <w:pPr>
        <w:pStyle w:val="Heading1"/>
        <w:spacing w:before="280" w:after="80"/>
      </w:pPr>
      <w:r>
        <w:rPr>
          <w:rFonts w:ascii="Arial" w:hAnsi="Arial" w:cs="Arial"/>
          <w:b/>
          <w:i w:val="0"/>
          <w:color w:val="009CE5"/>
          <w:sz w:val="30"/>
        </w:rPr>
        <w:t>SECTION 1 – BUSINESS “ALL RISKS” (PREMISES RISK ONLY)</w:t>
      </w:r>
    </w:p>
    <w:p>
      <w:pPr>
        <w:spacing w:after="80" w:before="0"/>
      </w:pPr>
      <w:r>
        <w:rPr>
          <w:rFonts w:ascii="Arial" w:hAnsi="Arial" w:cs="Arial"/>
          <w:b w:val="0"/>
          <w:i w:val="0"/>
          <w:sz w:val="20"/>
        </w:rPr>
        <w:t>Accidental physical loss of or damage to Buildings, Contents, Stock, Rent and Information Technology Property at the Premises on an “all risks” basis. Information Technology equipment and Breakdown cover (previously a standalone Information Technology section in the 0223C wording) is now incorporated within this Section.</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Day One Uplift and Capital Additions / Acquisitions</w:t>
      </w:r>
    </w:p>
    <w:p>
      <w:pPr>
        <w:pStyle w:val="ListBullet"/>
        <w:spacing w:after="40"/>
      </w:pPr>
      <w:r>
        <w:rPr>
          <w:rFonts w:ascii="Arial" w:hAnsi="Arial" w:cs="Arial"/>
          <w:b w:val="0"/>
          <w:i w:val="0"/>
          <w:sz w:val="20"/>
        </w:rPr>
        <w:t>Customers’ Goods; Removal of Debris and Fire Extinguishing Expenses</w:t>
      </w:r>
    </w:p>
    <w:p>
      <w:pPr>
        <w:pStyle w:val="ListBullet"/>
        <w:spacing w:after="40"/>
      </w:pPr>
      <w:r>
        <w:rPr>
          <w:rFonts w:ascii="Arial" w:hAnsi="Arial" w:cs="Arial"/>
          <w:b w:val="0"/>
          <w:i w:val="0"/>
          <w:sz w:val="20"/>
        </w:rPr>
        <w:t>Trace and Access; Drain Clearance; Replacement of Locks; Theft Damage to Buildings</w:t>
      </w:r>
    </w:p>
    <w:p>
      <w:pPr>
        <w:pStyle w:val="ListBullet"/>
        <w:spacing w:after="40"/>
      </w:pPr>
      <w:r>
        <w:rPr>
          <w:rFonts w:ascii="Arial" w:hAnsi="Arial" w:cs="Arial"/>
          <w:b w:val="0"/>
          <w:i w:val="0"/>
          <w:sz w:val="20"/>
        </w:rPr>
        <w:t>Temporary Removal and Transit; Exhibitions; Leased and Rented Premises</w:t>
      </w:r>
    </w:p>
    <w:p>
      <w:pPr>
        <w:pStyle w:val="ListBullet"/>
        <w:spacing w:after="40"/>
      </w:pPr>
      <w:r>
        <w:rPr>
          <w:rFonts w:ascii="Arial" w:hAnsi="Arial" w:cs="Arial"/>
          <w:b w:val="0"/>
          <w:i w:val="0"/>
          <w:sz w:val="20"/>
        </w:rPr>
        <w:t>Architects’, Surveyors’ and Engineers’ Fees; Inadvertent Omission to Insure; EU &amp; Public Authorities</w:t>
      </w:r>
    </w:p>
    <w:p>
      <w:pPr>
        <w:pStyle w:val="ListBullet"/>
        <w:spacing w:after="40"/>
      </w:pPr>
      <w:r>
        <w:rPr>
          <w:rFonts w:ascii="Arial" w:hAnsi="Arial" w:cs="Arial"/>
          <w:b w:val="0"/>
          <w:i w:val="0"/>
          <w:sz w:val="20"/>
        </w:rPr>
        <w:t>Information Technology Property Breakdown plus Accidental Discharge, Additional Rental Charge, Expediting Costs, Incompatibility and Involuntary Betterment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Minimum Security Requirements, Fire Protection &amp; Detection, Security Devices and Unoccupancy conditions apply (some are conditions precedent to liability)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Causes and Excluded Property</w:t>
      </w:r>
    </w:p>
    <w:p>
      <w:pPr>
        <w:pStyle w:val="ListBullet"/>
        <w:spacing w:after="40"/>
      </w:pPr>
      <w:r>
        <w:rPr>
          <w:rFonts w:ascii="Arial" w:hAnsi="Arial" w:cs="Arial"/>
          <w:b w:val="0"/>
          <w:i w:val="0"/>
          <w:sz w:val="20"/>
        </w:rPr>
        <w:t>Wear, tear, gradual deterioration and similar gradually-operating causes</w:t>
      </w:r>
    </w:p>
    <w:p>
      <w:pPr>
        <w:pStyle w:val="ListBullet"/>
        <w:spacing w:after="40"/>
      </w:pPr>
      <w:r>
        <w:rPr>
          <w:rFonts w:ascii="Arial" w:hAnsi="Arial" w:cs="Arial"/>
          <w:b w:val="0"/>
          <w:i w:val="0"/>
          <w:sz w:val="20"/>
        </w:rPr>
        <w:t>Theft from unoccupied/unattended buildings and certain outdoor areas (restricted)</w:t>
      </w:r>
    </w:p>
    <w:p>
      <w:pPr>
        <w:pStyle w:val="ListBullet"/>
        <w:spacing w:after="40"/>
      </w:pPr>
      <w:r>
        <w:rPr>
          <w:rFonts w:ascii="Arial" w:hAnsi="Arial" w:cs="Arial"/>
          <w:b w:val="0"/>
          <w:i w:val="0"/>
          <w:sz w:val="20"/>
        </w:rPr>
        <w:t>Cover may be reduced or cease where the premises are Unoccupied</w:t>
      </w:r>
    </w:p>
    <w:p>
      <w:pPr>
        <w:pStyle w:val="ListBullet"/>
        <w:spacing w:after="40"/>
      </w:pPr>
      <w:r>
        <w:rPr>
          <w:rFonts w:ascii="Arial" w:hAnsi="Arial" w:cs="Arial"/>
          <w:b w:val="0"/>
          <w:i w:val="0"/>
          <w:sz w:val="20"/>
        </w:rPr>
        <w:t>Underinsurance: cover is subject to Average</w:t>
      </w:r>
    </w:p>
    <w:p>
      <w:pPr>
        <w:spacing w:after="120" w:before="40"/>
      </w:pPr>
      <w:r>
        <w:rPr>
          <w:rFonts w:ascii="Arial" w:hAnsi="Arial" w:cs="Arial"/>
          <w:b w:val="0"/>
          <w:i/>
          <w:color w:val="595959"/>
          <w:sz w:val="18"/>
        </w:rPr>
        <w:t>Limits / sub-limits: As stated in the Schedule; settlement on Reinstatement or Indemnity basis as specified.</w:t>
      </w:r>
    </w:p>
    <w:p>
      <w:pPr>
        <w:pStyle w:val="Heading1"/>
        <w:spacing w:before="280" w:after="80"/>
      </w:pPr>
      <w:r>
        <w:rPr>
          <w:rFonts w:ascii="Arial" w:hAnsi="Arial" w:cs="Arial"/>
          <w:b/>
          <w:i w:val="0"/>
          <w:color w:val="009CE5"/>
          <w:sz w:val="30"/>
        </w:rPr>
        <w:t>SECTION 2 – PROPERTY &amp; EQUIPMENT “ALL RISKS”</w:t>
      </w:r>
    </w:p>
    <w:p>
      <w:pPr>
        <w:spacing w:after="80" w:before="0"/>
      </w:pPr>
      <w:r>
        <w:rPr>
          <w:rFonts w:ascii="Arial" w:hAnsi="Arial" w:cs="Arial"/>
          <w:b w:val="0"/>
          <w:i w:val="0"/>
          <w:sz w:val="20"/>
        </w:rPr>
        <w:t>“All risks” cover for Technical Equipment (musical instruments, sound, lighting, staging, projection, computer/IT equipment, audio-visual and broadcast equipment), Props, Sets and Wardrobe, stock/merchandise and Specified Articles within the Geographical Limits. This Section has been renamed and expanded (formerly “Production Property”) to absorb production property and technical / IT equipment.</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Technical Equipment and Artists’ Equipment (worldwide Geographical Limits)</w:t>
      </w:r>
    </w:p>
    <w:p>
      <w:pPr>
        <w:pStyle w:val="ListBullet"/>
        <w:spacing w:after="40"/>
      </w:pPr>
      <w:r>
        <w:rPr>
          <w:rFonts w:ascii="Arial" w:hAnsi="Arial" w:cs="Arial"/>
          <w:b w:val="0"/>
          <w:i w:val="0"/>
          <w:sz w:val="20"/>
        </w:rPr>
        <w:t>Transit and Exhibition extensions; Automatic Reinstatement</w:t>
      </w:r>
    </w:p>
    <w:p>
      <w:pPr>
        <w:pStyle w:val="ListBullet"/>
        <w:spacing w:after="40"/>
      </w:pPr>
      <w:r>
        <w:rPr>
          <w:rFonts w:ascii="Arial" w:hAnsi="Arial" w:cs="Arial"/>
          <w:b w:val="0"/>
          <w:i w:val="0"/>
          <w:sz w:val="20"/>
        </w:rPr>
        <w:t>Loan Property; Marine and Declared General Average; Customs Duty</w:t>
      </w:r>
    </w:p>
    <w:p>
      <w:pPr>
        <w:pStyle w:val="ListBullet"/>
        <w:spacing w:after="40"/>
      </w:pPr>
      <w:r>
        <w:rPr>
          <w:rFonts w:ascii="Arial" w:hAnsi="Arial" w:cs="Arial"/>
          <w:b w:val="0"/>
          <w:i w:val="0"/>
          <w:sz w:val="20"/>
        </w:rPr>
        <w:t>Brands and Labels; Involuntary Betterment</w:t>
      </w:r>
    </w:p>
    <w:p>
      <w:pPr>
        <w:pStyle w:val="ListBullet"/>
        <w:spacing w:after="40"/>
      </w:pPr>
      <w:r>
        <w:rPr>
          <w:rFonts w:ascii="Arial" w:hAnsi="Arial" w:cs="Arial"/>
          <w:b w:val="0"/>
          <w:i w:val="0"/>
          <w:sz w:val="20"/>
        </w:rPr>
        <w:t>Agreed Value, Reinstatement or Indemnity basis as shown in the Schedule</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Hired-in Property / Hired-out Property</w:t>
      </w:r>
    </w:p>
    <w:p>
      <w:pPr>
        <w:pStyle w:val="ListBullet"/>
        <w:spacing w:after="40"/>
      </w:pPr>
      <w:r>
        <w:rPr>
          <w:rFonts w:ascii="Arial" w:hAnsi="Arial" w:cs="Arial"/>
          <w:b w:val="0"/>
          <w:i w:val="0"/>
          <w:sz w:val="20"/>
        </w:rPr>
        <w:t>Technical Equipment Hired In / Hired Out</w:t>
      </w:r>
    </w:p>
    <w:p>
      <w:pPr>
        <w:pStyle w:val="ListBullet"/>
        <w:spacing w:after="40"/>
      </w:pPr>
      <w:r>
        <w:rPr>
          <w:rFonts w:ascii="Arial" w:hAnsi="Arial" w:cs="Arial"/>
          <w:b w:val="0"/>
          <w:i w:val="0"/>
          <w:sz w:val="20"/>
        </w:rPr>
        <w:t>Mechanical and Electrical Breakdown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Exclusions applicable to Technical Equipment, Props/Sets/Wardrobe and Specified Articles</w:t>
      </w:r>
    </w:p>
    <w:p>
      <w:pPr>
        <w:pStyle w:val="ListBullet"/>
        <w:spacing w:after="40"/>
      </w:pPr>
      <w:r>
        <w:rPr>
          <w:rFonts w:ascii="Arial" w:hAnsi="Arial" w:cs="Arial"/>
          <w:b w:val="0"/>
          <w:i w:val="0"/>
          <w:sz w:val="20"/>
        </w:rPr>
        <w:t>Property left in an unattended vehicle (subject to conditions)</w:t>
      </w:r>
    </w:p>
    <w:p>
      <w:pPr>
        <w:pStyle w:val="ListBullet"/>
        <w:spacing w:after="40"/>
      </w:pPr>
      <w:r>
        <w:rPr>
          <w:rFonts w:ascii="Arial" w:hAnsi="Arial" w:cs="Arial"/>
          <w:b w:val="0"/>
          <w:i w:val="0"/>
          <w:sz w:val="20"/>
        </w:rPr>
        <w:t>Valuables (jewellery, furs, precious metals/stones, works of art) over GBP 10,000 unless declared and accepted</w:t>
      </w:r>
    </w:p>
    <w:p>
      <w:pPr>
        <w:spacing w:after="120" w:before="40"/>
      </w:pPr>
      <w:r>
        <w:rPr>
          <w:rFonts w:ascii="Arial" w:hAnsi="Arial" w:cs="Arial"/>
          <w:b w:val="0"/>
          <w:i/>
          <w:color w:val="595959"/>
          <w:sz w:val="18"/>
        </w:rPr>
        <w:t>Limits / sub-limits: Artists’ Technical Equipment GBP 20,000 any one occurrence and in the aggregate; Declared General Average GBP 10,000 aggregate (Insured bears first 10%, min GBP 250); other limits as stated in the Schedule.</w:t>
      </w:r>
    </w:p>
    <w:p>
      <w:pPr>
        <w:pStyle w:val="Heading1"/>
        <w:spacing w:before="280" w:after="80"/>
      </w:pPr>
      <w:r>
        <w:rPr>
          <w:rFonts w:ascii="Arial" w:hAnsi="Arial" w:cs="Arial"/>
          <w:b/>
          <w:i w:val="0"/>
          <w:color w:val="009CE5"/>
          <w:sz w:val="30"/>
        </w:rPr>
        <w:t>SECTION 3 – BUSINESS INTERRUPTION “ALL RISKS”</w:t>
      </w:r>
    </w:p>
    <w:p>
      <w:pPr>
        <w:spacing w:after="80" w:before="0"/>
      </w:pPr>
      <w:r>
        <w:rPr>
          <w:rFonts w:ascii="Arial" w:hAnsi="Arial" w:cs="Arial"/>
          <w:b w:val="0"/>
          <w:i w:val="0"/>
          <w:sz w:val="20"/>
        </w:rPr>
        <w:t>Loss of gross profit, gross revenue, rent receivable and increased cost of working following interruption of the Business by an insured Incident (i.e. damage covered under the property Sections).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Increase in Cost of Working (ICOW) and Additional Increase in Cost of Working (AICOW) – named settlement heads</w:t>
      </w:r>
    </w:p>
    <w:p>
      <w:pPr>
        <w:pStyle w:val="ListBullet"/>
        <w:spacing w:after="40"/>
      </w:pPr>
      <w:r>
        <w:rPr>
          <w:rFonts w:ascii="Arial" w:hAnsi="Arial" w:cs="Arial"/>
          <w:b w:val="0"/>
          <w:i w:val="0"/>
          <w:sz w:val="20"/>
        </w:rPr>
        <w:t>Accounts Receivable (Book Debts); Increase in Cost of Working (Computers)</w:t>
      </w:r>
    </w:p>
    <w:p>
      <w:pPr>
        <w:pStyle w:val="ListBullet"/>
        <w:spacing w:after="40"/>
      </w:pPr>
      <w:r>
        <w:rPr>
          <w:rFonts w:ascii="Arial" w:hAnsi="Arial" w:cs="Arial"/>
          <w:b w:val="0"/>
          <w:i w:val="0"/>
          <w:sz w:val="20"/>
        </w:rPr>
        <w:t>Denial of Access; Customers and Suppliers; Public Utilities</w:t>
      </w:r>
    </w:p>
    <w:p>
      <w:pPr>
        <w:pStyle w:val="ListBullet"/>
        <w:spacing w:after="40"/>
      </w:pPr>
      <w:r>
        <w:rPr>
          <w:rFonts w:ascii="Arial" w:hAnsi="Arial" w:cs="Arial"/>
          <w:b w:val="0"/>
          <w:i w:val="0"/>
          <w:sz w:val="20"/>
        </w:rPr>
        <w:t>Specified Illness and Miscellaneous Contingencies</w:t>
      </w:r>
    </w:p>
    <w:p>
      <w:pPr>
        <w:pStyle w:val="ListBullet"/>
        <w:spacing w:after="40"/>
      </w:pPr>
      <w:r>
        <w:rPr>
          <w:rFonts w:ascii="Arial" w:hAnsi="Arial" w:cs="Arial"/>
          <w:b w:val="0"/>
          <w:i w:val="0"/>
          <w:sz w:val="20"/>
        </w:rPr>
        <w:t>Alternative Trading; Automatic Reinstatement; Payments on Account</w:t>
      </w:r>
    </w:p>
    <w:p>
      <w:pPr>
        <w:pStyle w:val="ListBullet"/>
        <w:spacing w:after="40"/>
      </w:pPr>
      <w:r>
        <w:rPr>
          <w:rFonts w:ascii="Arial" w:hAnsi="Arial" w:cs="Arial"/>
          <w:b w:val="0"/>
          <w:i w:val="0"/>
          <w:sz w:val="20"/>
        </w:rPr>
        <w:t>Exhibition Loss of Expenses and Exhibition Sites; Professional Accountants</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Contract Sites; Denial of Access (Non-Damage); Goods in Transit</w:t>
      </w:r>
    </w:p>
    <w:p>
      <w:pPr>
        <w:pStyle w:val="ListBullet"/>
        <w:spacing w:after="40"/>
      </w:pPr>
      <w:r>
        <w:rPr>
          <w:rFonts w:ascii="Arial" w:hAnsi="Arial" w:cs="Arial"/>
          <w:b w:val="0"/>
          <w:i w:val="0"/>
          <w:sz w:val="20"/>
        </w:rPr>
        <w:t>Public Utilities – Terminal Ends; Flexible Business Interruption Limit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Loss not resulting from an insured Incident is not covered</w:t>
      </w:r>
    </w:p>
    <w:p>
      <w:pPr>
        <w:pStyle w:val="ListBullet"/>
        <w:spacing w:after="40"/>
      </w:pPr>
      <w:r>
        <w:rPr>
          <w:rFonts w:ascii="Arial" w:hAnsi="Arial" w:cs="Arial"/>
          <w:b w:val="0"/>
          <w:i w:val="0"/>
          <w:sz w:val="20"/>
        </w:rPr>
        <w:t>Adjustments for trends and other circumstances apply</w:t>
      </w:r>
    </w:p>
    <w:p>
      <w:pPr>
        <w:pStyle w:val="ListBullet"/>
        <w:spacing w:after="40"/>
      </w:pPr>
      <w:r>
        <w:rPr>
          <w:rFonts w:ascii="Arial" w:hAnsi="Arial" w:cs="Arial"/>
          <w:b w:val="0"/>
          <w:i w:val="0"/>
          <w:sz w:val="20"/>
        </w:rPr>
        <w:t>Cover limited to the Indemnity Period stated in the Schedule</w:t>
      </w:r>
    </w:p>
    <w:p>
      <w:pPr>
        <w:spacing w:after="120" w:before="40"/>
      </w:pPr>
      <w:r>
        <w:rPr>
          <w:rFonts w:ascii="Arial" w:hAnsi="Arial" w:cs="Arial"/>
          <w:b w:val="0"/>
          <w:i/>
          <w:color w:val="595959"/>
          <w:sz w:val="18"/>
        </w:rPr>
        <w:t>Limits / sub-limits: Gross profit/revenue sums insured, Indemnity Period and sub-limits as stated in the Schedule.</w:t>
      </w:r>
    </w:p>
    <w:p>
      <w:pPr>
        <w:pStyle w:val="Heading1"/>
        <w:spacing w:before="280" w:after="80"/>
      </w:pPr>
      <w:r>
        <w:rPr>
          <w:rFonts w:ascii="Arial" w:hAnsi="Arial" w:cs="Arial"/>
          <w:b/>
          <w:i w:val="0"/>
          <w:color w:val="009CE5"/>
          <w:sz w:val="30"/>
        </w:rPr>
        <w:t>SECTION 4 – TERRORISM</w:t>
      </w:r>
    </w:p>
    <w:p>
      <w:pPr>
        <w:spacing w:after="80" w:before="0"/>
      </w:pPr>
      <w:r>
        <w:rPr>
          <w:rFonts w:ascii="Arial" w:hAnsi="Arial" w:cs="Arial"/>
          <w:b w:val="0"/>
          <w:i w:val="0"/>
          <w:sz w:val="20"/>
        </w:rPr>
        <w:t>Loss of or damage to Property Insured, and resulting Business Interruption, caused by an act of Terrorism within the Territorial Limits.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Aligns with the Property and Business Interruption Sections</w:t>
      </w:r>
    </w:p>
    <w:p>
      <w:pPr>
        <w:pStyle w:val="ListBullet"/>
        <w:spacing w:after="40"/>
      </w:pPr>
      <w:r>
        <w:rPr>
          <w:rFonts w:ascii="Arial" w:hAnsi="Arial" w:cs="Arial"/>
          <w:b w:val="0"/>
          <w:i w:val="0"/>
          <w:sz w:val="20"/>
        </w:rPr>
        <w:t>Automatic Reinstatement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Nuclear installations and reactors</w:t>
      </w:r>
    </w:p>
    <w:p>
      <w:pPr>
        <w:pStyle w:val="ListBullet"/>
        <w:spacing w:after="40"/>
      </w:pPr>
      <w:r>
        <w:rPr>
          <w:rFonts w:ascii="Arial" w:hAnsi="Arial" w:cs="Arial"/>
          <w:b w:val="0"/>
          <w:i w:val="0"/>
          <w:sz w:val="20"/>
        </w:rPr>
        <w:t>Cyber / Virus and Denial of Service attack</w:t>
      </w:r>
    </w:p>
    <w:p>
      <w:pPr>
        <w:pStyle w:val="ListBullet"/>
        <w:spacing w:after="40"/>
      </w:pPr>
      <w:r>
        <w:rPr>
          <w:rFonts w:ascii="Arial" w:hAnsi="Arial" w:cs="Arial"/>
          <w:b w:val="0"/>
          <w:i w:val="0"/>
          <w:sz w:val="20"/>
        </w:rPr>
        <w:t>War and related perils</w:t>
      </w:r>
    </w:p>
    <w:p>
      <w:pPr>
        <w:pStyle w:val="ListBullet"/>
        <w:spacing w:after="40"/>
      </w:pPr>
      <w:r>
        <w:rPr>
          <w:rFonts w:ascii="Arial" w:hAnsi="Arial" w:cs="Arial"/>
          <w:b w:val="0"/>
          <w:i w:val="0"/>
          <w:sz w:val="20"/>
        </w:rPr>
        <w:t>Burden of proof that loss is not excluded rests with the Insured</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5 – EMPLOYERS’ LIABILITY</w:t>
      </w:r>
    </w:p>
    <w:p>
      <w:pPr>
        <w:spacing w:after="80" w:before="0"/>
      </w:pPr>
      <w:r>
        <w:rPr>
          <w:rFonts w:ascii="Arial" w:hAnsi="Arial" w:cs="Arial"/>
          <w:b w:val="0"/>
          <w:i w:val="0"/>
          <w:sz w:val="20"/>
        </w:rPr>
        <w:t>The Insured’s legal liability for bodily injury or disease sustained by Employees arising out of and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w:t>
      </w:r>
    </w:p>
    <w:p>
      <w:pPr>
        <w:pStyle w:val="ListBullet"/>
        <w:spacing w:after="40"/>
      </w:pPr>
      <w:r>
        <w:rPr>
          <w:rFonts w:ascii="Arial" w:hAnsi="Arial" w:cs="Arial"/>
          <w:b w:val="0"/>
          <w:i w:val="0"/>
          <w:sz w:val="20"/>
        </w:rPr>
        <w:t>Criminal Prosecution Defence Costs; Data Protection Act cover</w:t>
      </w:r>
    </w:p>
    <w:p>
      <w:pPr>
        <w:pStyle w:val="ListBullet"/>
        <w:spacing w:after="40"/>
      </w:pPr>
      <w:r>
        <w:rPr>
          <w:rFonts w:ascii="Arial" w:hAnsi="Arial" w:cs="Arial"/>
          <w:b w:val="0"/>
          <w:i w:val="0"/>
          <w:sz w:val="20"/>
        </w:rPr>
        <w:t>Unsatisfied Court Judgments</w:t>
      </w:r>
    </w:p>
    <w:p>
      <w:pPr>
        <w:pStyle w:val="ListBullet"/>
        <w:spacing w:after="40"/>
      </w:pPr>
      <w:r>
        <w:rPr>
          <w:rFonts w:ascii="Arial" w:hAnsi="Arial" w:cs="Arial"/>
          <w:b w:val="0"/>
          <w:i w:val="0"/>
          <w:sz w:val="20"/>
        </w:rPr>
        <w:t>Health &amp; Safety / Corporate Manslaughter defence costs (sub-limited)</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Liability requiring compulsory motor insurance; offshore work</w:t>
      </w:r>
    </w:p>
    <w:p>
      <w:pPr>
        <w:pStyle w:val="ListBullet"/>
        <w:spacing w:after="40"/>
      </w:pPr>
      <w:r>
        <w:rPr>
          <w:rFonts w:ascii="Arial" w:hAnsi="Arial" w:cs="Arial"/>
          <w:b w:val="0"/>
          <w:i w:val="0"/>
          <w:sz w:val="20"/>
        </w:rPr>
        <w:t>Workers’ Compensation; Asbestos (limited fire/explosion write-back)</w:t>
      </w:r>
    </w:p>
    <w:p>
      <w:pPr>
        <w:pStyle w:val="ListBullet"/>
        <w:spacing w:after="40"/>
      </w:pPr>
      <w:r>
        <w:rPr>
          <w:rFonts w:ascii="Arial" w:hAnsi="Arial" w:cs="Arial"/>
          <w:b w:val="0"/>
          <w:i w:val="0"/>
          <w:sz w:val="20"/>
        </w:rPr>
        <w:t>Terrorism</w:t>
      </w:r>
    </w:p>
    <w:p>
      <w:pPr>
        <w:spacing w:after="120" w:before="40"/>
      </w:pPr>
      <w:r>
        <w:rPr>
          <w:rFonts w:ascii="Arial" w:hAnsi="Arial" w:cs="Arial"/>
          <w:b w:val="0"/>
          <w:i/>
          <w:color w:val="595959"/>
          <w:sz w:val="18"/>
        </w:rPr>
        <w:t>Limits / sub-limits: Limit of Indemnity as stated in the Schedule (minimum as required by the Employers’ Liability (Compulsory Insurance) Act 1969). Criminal Prosecution Defence Costs GBP 250,000 (GBP 5,000,000 for manslaughter); certain extensions limited to GBP 250,000; asbestos fire/explosion write-back GBP 500,000.</w:t>
      </w:r>
    </w:p>
    <w:p>
      <w:pPr>
        <w:pStyle w:val="Heading1"/>
        <w:spacing w:before="280" w:after="80"/>
      </w:pPr>
      <w:r>
        <w:rPr>
          <w:rFonts w:ascii="Arial" w:hAnsi="Arial" w:cs="Arial"/>
          <w:b/>
          <w:i w:val="0"/>
          <w:color w:val="009CE5"/>
          <w:sz w:val="30"/>
        </w:rPr>
        <w:t>SECTION 6 – PUBLIC LIABILITY</w:t>
      </w:r>
    </w:p>
    <w:p>
      <w:pPr>
        <w:spacing w:after="80" w:before="0"/>
      </w:pPr>
      <w:r>
        <w:rPr>
          <w:rFonts w:ascii="Arial" w:hAnsi="Arial" w:cs="Arial"/>
          <w:b w:val="0"/>
          <w:i w:val="0"/>
          <w:sz w:val="20"/>
        </w:rPr>
        <w:t>The Insured’s legal liability to pay Compensation for accidental bodily injury to third parties and accidental loss of or damage to third-party property arising from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 Cross Liabilities</w:t>
      </w:r>
    </w:p>
    <w:p>
      <w:pPr>
        <w:pStyle w:val="ListBullet"/>
        <w:spacing w:after="40"/>
      </w:pPr>
      <w:r>
        <w:rPr>
          <w:rFonts w:ascii="Arial" w:hAnsi="Arial" w:cs="Arial"/>
          <w:b w:val="0"/>
          <w:i w:val="0"/>
          <w:sz w:val="20"/>
        </w:rPr>
        <w:t>Defective Premises Act 1972; Legionella Liability</w:t>
      </w:r>
    </w:p>
    <w:p>
      <w:pPr>
        <w:pStyle w:val="ListBullet"/>
        <w:spacing w:after="40"/>
      </w:pPr>
      <w:r>
        <w:rPr>
          <w:rFonts w:ascii="Arial" w:hAnsi="Arial" w:cs="Arial"/>
          <w:b w:val="0"/>
          <w:i w:val="0"/>
          <w:sz w:val="20"/>
        </w:rPr>
        <w:t>Custody or Control; Data Protection Act; Overseas Personal Liability</w:t>
      </w:r>
    </w:p>
    <w:p>
      <w:pPr>
        <w:pStyle w:val="ListBullet"/>
        <w:spacing w:after="40"/>
      </w:pPr>
      <w:r>
        <w:rPr>
          <w:rFonts w:ascii="Arial" w:hAnsi="Arial" w:cs="Arial"/>
          <w:b w:val="0"/>
          <w:i w:val="0"/>
          <w:sz w:val="20"/>
        </w:rPr>
        <w:t>Motor Vehicle Contingent Liability; Criminal Prosecution Defence Costs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Abuse; Advice and Professional Negligence; Products; Contractual Liability</w:t>
      </w:r>
    </w:p>
    <w:p>
      <w:pPr>
        <w:pStyle w:val="ListBullet"/>
        <w:spacing w:after="40"/>
      </w:pPr>
      <w:r>
        <w:rPr>
          <w:rFonts w:ascii="Arial" w:hAnsi="Arial" w:cs="Arial"/>
          <w:b w:val="0"/>
          <w:i w:val="0"/>
          <w:sz w:val="20"/>
        </w:rPr>
        <w:t>Asbestos; Pollution; Defective Workmanship; Medical Malpractice</w:t>
      </w:r>
    </w:p>
    <w:p>
      <w:pPr>
        <w:pStyle w:val="ListBullet"/>
        <w:spacing w:after="40"/>
      </w:pPr>
      <w:r>
        <w:rPr>
          <w:rFonts w:ascii="Arial" w:hAnsi="Arial" w:cs="Arial"/>
          <w:b w:val="0"/>
          <w:i w:val="0"/>
          <w:sz w:val="20"/>
        </w:rPr>
        <w:t>Vehicles, Vessels or Craft; Hazardous Activities</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Custody/Control extension GBP 250,000 (GBP 2,500 excess each claim); other extensions sub-limited as stated.</w:t>
      </w:r>
    </w:p>
    <w:p>
      <w:pPr>
        <w:pStyle w:val="Heading1"/>
        <w:spacing w:before="280" w:after="80"/>
      </w:pPr>
      <w:r>
        <w:rPr>
          <w:rFonts w:ascii="Arial" w:hAnsi="Arial" w:cs="Arial"/>
          <w:b/>
          <w:i w:val="0"/>
          <w:color w:val="009CE5"/>
          <w:sz w:val="30"/>
        </w:rPr>
        <w:t>SECTION 7 – PRODUCTS LIABILITY</w:t>
      </w:r>
    </w:p>
    <w:p>
      <w:pPr>
        <w:spacing w:after="80" w:before="0"/>
      </w:pPr>
      <w:r>
        <w:rPr>
          <w:rFonts w:ascii="Arial" w:hAnsi="Arial" w:cs="Arial"/>
          <w:b w:val="0"/>
          <w:i w:val="0"/>
          <w:sz w:val="20"/>
        </w:rPr>
        <w:t>The Insured’s legal liability to pay Compensation for accidental bodily injury or property damage caused by products sold, supplied or distributed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Criminal Prosecution Defence Costs; Cross Liabilities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Damage to Products Supplied; Defective Workmanship; North American Exports</w:t>
      </w:r>
    </w:p>
    <w:p>
      <w:pPr>
        <w:pStyle w:val="ListBullet"/>
        <w:spacing w:after="40"/>
      </w:pPr>
      <w:r>
        <w:rPr>
          <w:rFonts w:ascii="Arial" w:hAnsi="Arial" w:cs="Arial"/>
          <w:b w:val="0"/>
          <w:i w:val="0"/>
          <w:sz w:val="20"/>
        </w:rPr>
        <w:t>Asbestos; Pollution; Aircraft / Watercraft Products; Food and Drink</w:t>
      </w:r>
    </w:p>
    <w:p>
      <w:pPr>
        <w:pStyle w:val="ListBullet"/>
        <w:spacing w:after="40"/>
      </w:pPr>
      <w:r>
        <w:rPr>
          <w:rFonts w:ascii="Arial" w:hAnsi="Arial" w:cs="Arial"/>
          <w:b w:val="0"/>
          <w:i w:val="0"/>
          <w:sz w:val="20"/>
        </w:rPr>
        <w:t>Advice and Professional Negligence; Contractual Liability</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asbestos fire/explosion write-back GBP 500,000.</w:t>
      </w:r>
    </w:p>
    <w:p>
      <w:pPr>
        <w:pStyle w:val="Heading1"/>
        <w:spacing w:before="280" w:after="80"/>
      </w:pPr>
      <w:r>
        <w:rPr>
          <w:rFonts w:ascii="Arial" w:hAnsi="Arial" w:cs="Arial"/>
          <w:b/>
          <w:i w:val="0"/>
          <w:color w:val="009CE5"/>
          <w:sz w:val="30"/>
        </w:rPr>
        <w:t>SECTION 8 – MONEY</w:t>
      </w:r>
    </w:p>
    <w:p>
      <w:pPr>
        <w:spacing w:after="80" w:before="0"/>
      </w:pPr>
      <w:r>
        <w:rPr>
          <w:rFonts w:ascii="Arial" w:hAnsi="Arial" w:cs="Arial"/>
          <w:b w:val="0"/>
          <w:i w:val="0"/>
          <w:sz w:val="20"/>
        </w:rPr>
        <w:t>Loss of Money in transit, on the premises and in safes or strongrooms (Sub-Section 1), together with Personal Assault benefits for insured persons following robbery or attempted robbery (Sub-Section 2).</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Loss of Keys</w:t>
      </w:r>
    </w:p>
    <w:p>
      <w:pPr>
        <w:pStyle w:val="ListBullet"/>
        <w:spacing w:after="40"/>
      </w:pPr>
      <w:r>
        <w:rPr>
          <w:rFonts w:ascii="Arial" w:hAnsi="Arial" w:cs="Arial"/>
          <w:b w:val="0"/>
          <w:i w:val="0"/>
          <w:sz w:val="20"/>
        </w:rPr>
        <w:t>Personal Assault benefits – death and disablement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Money in transit must be accompanied by escorts according to value (GBP 2,000 / GBP 5,000 / GBP 10,000 thresholds; amounts over GBP 10,000 carried by a professional security company)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Shortage due to error or omission</w:t>
      </w:r>
    </w:p>
    <w:p>
      <w:pPr>
        <w:pStyle w:val="ListBullet"/>
        <w:spacing w:after="40"/>
      </w:pPr>
      <w:r>
        <w:rPr>
          <w:rFonts w:ascii="Arial" w:hAnsi="Arial" w:cs="Arial"/>
          <w:b w:val="0"/>
          <w:i w:val="0"/>
          <w:sz w:val="20"/>
        </w:rPr>
        <w:t>Breach of money-carrying / security conditions</w:t>
      </w:r>
    </w:p>
    <w:p>
      <w:pPr>
        <w:pStyle w:val="ListBullet"/>
        <w:spacing w:after="40"/>
      </w:pPr>
      <w:r>
        <w:rPr>
          <w:rFonts w:ascii="Arial" w:hAnsi="Arial" w:cs="Arial"/>
          <w:b w:val="0"/>
          <w:i w:val="0"/>
          <w:sz w:val="20"/>
        </w:rPr>
        <w:t>Failure to keep required records</w:t>
      </w:r>
    </w:p>
    <w:p>
      <w:pPr>
        <w:spacing w:after="120" w:before="40"/>
      </w:pPr>
      <w:r>
        <w:rPr>
          <w:rFonts w:ascii="Arial" w:hAnsi="Arial" w:cs="Arial"/>
          <w:b w:val="0"/>
          <w:i/>
          <w:color w:val="595959"/>
          <w:sz w:val="18"/>
        </w:rPr>
        <w:t>Limits / sub-limits: Money and Personal Assault limits as stated in the Schedule.</w:t>
      </w:r>
    </w:p>
    <w:p>
      <w:pPr>
        <w:pStyle w:val="Heading1"/>
        <w:spacing w:before="280" w:after="80"/>
      </w:pPr>
      <w:r>
        <w:rPr>
          <w:rFonts w:ascii="Arial" w:hAnsi="Arial" w:cs="Arial"/>
          <w:b/>
          <w:i w:val="0"/>
          <w:color w:val="009CE5"/>
          <w:sz w:val="30"/>
        </w:rPr>
        <w:t>SECTION 9 – GOODS IN TRANSIT</w:t>
      </w:r>
    </w:p>
    <w:p>
      <w:pPr>
        <w:spacing w:after="80" w:before="0"/>
      </w:pPr>
      <w:r>
        <w:rPr>
          <w:rFonts w:ascii="Arial" w:hAnsi="Arial" w:cs="Arial"/>
          <w:b w:val="0"/>
          <w:i w:val="0"/>
          <w:sz w:val="20"/>
        </w:rPr>
        <w:t>Damage to the Property Insured whilst in transit by any insured method of conveyance within the Geographical Limits.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Tools and Samples; Clothing and Personal Effects</w:t>
      </w:r>
    </w:p>
    <w:p>
      <w:pPr>
        <w:pStyle w:val="ListBullet"/>
        <w:spacing w:after="40"/>
      </w:pPr>
      <w:r>
        <w:rPr>
          <w:rFonts w:ascii="Arial" w:hAnsi="Arial" w:cs="Arial"/>
          <w:b w:val="0"/>
          <w:i w:val="0"/>
          <w:sz w:val="20"/>
        </w:rPr>
        <w:t>Tarpaulins, Sheets and Ropes</w:t>
      </w:r>
    </w:p>
    <w:p>
      <w:pPr>
        <w:pStyle w:val="ListBullet"/>
        <w:spacing w:after="40"/>
      </w:pPr>
      <w:r>
        <w:rPr>
          <w:rFonts w:ascii="Arial" w:hAnsi="Arial" w:cs="Arial"/>
          <w:b w:val="0"/>
          <w:i w:val="0"/>
          <w:sz w:val="20"/>
        </w:rPr>
        <w:t>Debris Removal, Trans-shipment and Recovery Charges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Property</w:t>
      </w:r>
    </w:p>
    <w:p>
      <w:pPr>
        <w:pStyle w:val="ListBullet"/>
        <w:spacing w:after="40"/>
      </w:pPr>
      <w:r>
        <w:rPr>
          <w:rFonts w:ascii="Arial" w:hAnsi="Arial" w:cs="Arial"/>
          <w:b w:val="0"/>
          <w:i w:val="0"/>
          <w:sz w:val="20"/>
        </w:rPr>
        <w:t>Failure to take reasonable precautions</w:t>
      </w:r>
    </w:p>
    <w:p>
      <w:pPr>
        <w:spacing w:after="120" w:before="40"/>
      </w:pPr>
      <w:r>
        <w:rPr>
          <w:rFonts w:ascii="Arial" w:hAnsi="Arial" w:cs="Arial"/>
          <w:b w:val="0"/>
          <w:i/>
          <w:color w:val="595959"/>
          <w:sz w:val="18"/>
        </w:rPr>
        <w:t>Limits / sub-limits: Limit any one vehicle/sending and other limits as stated in the Schedule.</w:t>
      </w:r>
    </w:p>
    <w:p>
      <w:pPr>
        <w:pStyle w:val="Heading1"/>
        <w:spacing w:before="280" w:after="80"/>
      </w:pPr>
      <w:r>
        <w:rPr>
          <w:rFonts w:ascii="Arial" w:hAnsi="Arial" w:cs="Arial"/>
          <w:b/>
          <w:i w:val="0"/>
          <w:color w:val="009CE5"/>
          <w:sz w:val="30"/>
        </w:rPr>
        <w:t>SECTION 10 – LOSS OF LICENCE</w:t>
      </w:r>
    </w:p>
    <w:p>
      <w:pPr>
        <w:spacing w:after="80" w:before="0"/>
      </w:pPr>
      <w:r>
        <w:rPr>
          <w:rFonts w:ascii="Arial" w:hAnsi="Arial" w:cs="Arial"/>
          <w:b w:val="0"/>
          <w:i w:val="0"/>
          <w:sz w:val="20"/>
        </w:rPr>
        <w:t>Loss in trade value or net profit following the forfeiture, suspension or refusal of renewal of the Insured’s premises licence, other than for reasons within the Insured’s control.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Cover triggered on forfeiture, suspension or non-renewal of the Licence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Failure to comply with claims conditions</w:t>
      </w:r>
    </w:p>
    <w:p>
      <w:pPr>
        <w:pStyle w:val="ListBullet"/>
        <w:spacing w:after="40"/>
      </w:pPr>
      <w:r>
        <w:rPr>
          <w:rFonts w:ascii="Arial" w:hAnsi="Arial" w:cs="Arial"/>
          <w:b w:val="0"/>
          <w:i w:val="0"/>
          <w:sz w:val="20"/>
        </w:rPr>
        <w:t>Loss arising from replacement of the licensee</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11 – PRODUCTION INDEMNITY “ALL RISKS”</w:t>
      </w:r>
    </w:p>
    <w:p>
      <w:pPr>
        <w:spacing w:after="80" w:before="0"/>
      </w:pPr>
      <w:r>
        <w:rPr>
          <w:rFonts w:ascii="Arial" w:hAnsi="Arial" w:cs="Arial"/>
          <w:b w:val="0"/>
          <w:i w:val="0"/>
          <w:sz w:val="20"/>
        </w:rPr>
        <w:t>Additional expenditure and Gross Production Cost loss incurred as a result of the interruption, postponement, cancellation or abandonment of an insured Production. Comprises a Multimedia Sub-Section (Damage to Property Insured) and a Producers Indemnity Sub-Section (any cause beyond the Insured’s control).</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Agency and Talent Costs; Archive Material</w:t>
      </w:r>
    </w:p>
    <w:p>
      <w:pPr>
        <w:pStyle w:val="ListBullet"/>
        <w:spacing w:after="40"/>
      </w:pPr>
      <w:r>
        <w:rPr>
          <w:rFonts w:ascii="Arial" w:hAnsi="Arial" w:cs="Arial"/>
          <w:b w:val="0"/>
          <w:i w:val="0"/>
          <w:sz w:val="20"/>
        </w:rPr>
        <w:t>Automatic Reinstatement; Storage (up to 12 months)</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Conditions precedent include Production Planning, Duplicates, Rushes, Pre-Filming Testing, Processing (within 48 hours) and Full Value Declaration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Incapacity of persons due to hazardous acts, drugs/alcohol, age limits (&lt;4 or &gt;70) or pre-existing conditions</w:t>
      </w:r>
    </w:p>
    <w:p>
      <w:pPr>
        <w:pStyle w:val="ListBullet"/>
        <w:spacing w:after="40"/>
      </w:pPr>
      <w:r>
        <w:rPr>
          <w:rFonts w:ascii="Arial" w:hAnsi="Arial" w:cs="Arial"/>
          <w:b w:val="0"/>
          <w:i w:val="0"/>
          <w:sz w:val="20"/>
        </w:rPr>
        <w:t>Cancellation/abandonment due to weather; failure of equipment, effects or recordings to perform</w:t>
      </w:r>
    </w:p>
    <w:p>
      <w:pPr>
        <w:pStyle w:val="ListBullet"/>
        <w:spacing w:after="40"/>
      </w:pPr>
      <w:r>
        <w:rPr>
          <w:rFonts w:ascii="Arial" w:hAnsi="Arial" w:cs="Arial"/>
          <w:b w:val="0"/>
          <w:i w:val="0"/>
          <w:sz w:val="20"/>
        </w:rPr>
        <w:t>Software programming errors / design defects; failure to fulfil a contract; foot and mouth disease</w:t>
      </w:r>
    </w:p>
    <w:p>
      <w:pPr>
        <w:pStyle w:val="ListBullet"/>
        <w:spacing w:after="40"/>
      </w:pPr>
      <w:r>
        <w:rPr>
          <w:rFonts w:ascii="Arial" w:hAnsi="Arial" w:cs="Arial"/>
          <w:b w:val="0"/>
          <w:i w:val="0"/>
          <w:sz w:val="20"/>
        </w:rPr>
        <w:t>The Excess and Consequential Loss (as defined)</w:t>
      </w:r>
    </w:p>
    <w:p>
      <w:pPr>
        <w:spacing w:after="120" w:before="40"/>
      </w:pPr>
      <w:r>
        <w:rPr>
          <w:rFonts w:ascii="Arial" w:hAnsi="Arial" w:cs="Arial"/>
          <w:b w:val="0"/>
          <w:i/>
          <w:color w:val="595959"/>
          <w:sz w:val="18"/>
        </w:rPr>
        <w:t>Limits / sub-limits: Limit of Indemnity any one Production as stated in the Schedule; Agency and Talent Costs up to 25% / max GBP 30,000 any one Production.</w:t>
      </w:r>
    </w:p>
    <w:p>
      <w:pPr>
        <w:pStyle w:val="Heading1"/>
        <w:spacing w:before="280" w:after="80"/>
      </w:pPr>
      <w:r>
        <w:rPr>
          <w:rFonts w:ascii="Arial" w:hAnsi="Arial" w:cs="Arial"/>
          <w:b/>
          <w:i w:val="0"/>
          <w:color w:val="009CE5"/>
          <w:sz w:val="30"/>
        </w:rPr>
        <w:t>SECTION 12 – MEDIA LIABILITY (CLAIMS-MADE)</w:t>
      </w:r>
    </w:p>
    <w:p>
      <w:pPr>
        <w:spacing w:after="80" w:before="0"/>
      </w:pPr>
      <w:r>
        <w:rPr>
          <w:rFonts w:ascii="Arial" w:hAnsi="Arial" w:cs="Arial"/>
          <w:b w:val="0"/>
          <w:i w:val="0"/>
          <w:sz w:val="20"/>
        </w:rPr>
        <w:t>Civil liability arising from the Insured’s Media Business Services – including defamation, infringement of intellectual property and breach of confidentiality – written on a claims-made basis. Insuring clauses include Indemnity, Legal Defence Costs and Expenses, Rectification, Irrecoverable Fees, Data Protection Defence Costs, Reputation Management, Withdrawal of Content and intellectual-property pursuit costs.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Joint Ventures; Indemnity to Principals; Mergers and Acquisitions</w:t>
      </w:r>
    </w:p>
    <w:p>
      <w:pPr>
        <w:pStyle w:val="ListBullet"/>
        <w:spacing w:after="40"/>
      </w:pPr>
      <w:r>
        <w:rPr>
          <w:rFonts w:ascii="Arial" w:hAnsi="Arial" w:cs="Arial"/>
          <w:b w:val="0"/>
          <w:i w:val="0"/>
          <w:sz w:val="20"/>
        </w:rPr>
        <w:t>Change of Control provisions</w:t>
      </w:r>
    </w:p>
    <w:p>
      <w:pPr>
        <w:pStyle w:val="ListBullet"/>
        <w:spacing w:after="40"/>
      </w:pPr>
      <w:r>
        <w:rPr>
          <w:rFonts w:ascii="Arial" w:hAnsi="Arial" w:cs="Arial"/>
          <w:b w:val="0"/>
          <w:i w:val="0"/>
          <w:sz w:val="20"/>
        </w:rPr>
        <w:t>Reputation Management and Withdrawal of Content</w:t>
      </w:r>
    </w:p>
    <w:p>
      <w:pPr>
        <w:pStyle w:val="ListBullet"/>
        <w:spacing w:after="40"/>
      </w:pPr>
      <w:r>
        <w:rPr>
          <w:rFonts w:ascii="Arial" w:hAnsi="Arial" w:cs="Arial"/>
          <w:b w:val="0"/>
          <w:i w:val="0"/>
          <w:sz w:val="20"/>
        </w:rPr>
        <w:t>Compensation for Court Attendance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Claims or circumstances known at inception</w:t>
      </w:r>
    </w:p>
    <w:p>
      <w:pPr>
        <w:pStyle w:val="ListBullet"/>
        <w:spacing w:after="40"/>
      </w:pPr>
      <w:r>
        <w:rPr>
          <w:rFonts w:ascii="Arial" w:hAnsi="Arial" w:cs="Arial"/>
          <w:b w:val="0"/>
          <w:i w:val="0"/>
          <w:sz w:val="20"/>
        </w:rPr>
        <w:t>Deliberate collection of private data without consent</w:t>
      </w:r>
    </w:p>
    <w:p>
      <w:pPr>
        <w:pStyle w:val="ListBullet"/>
        <w:spacing w:after="40"/>
      </w:pPr>
      <w:r>
        <w:rPr>
          <w:rFonts w:ascii="Arial" w:hAnsi="Arial" w:cs="Arial"/>
          <w:b w:val="0"/>
          <w:i w:val="0"/>
          <w:sz w:val="20"/>
        </w:rPr>
        <w:t>Bodily injury / property damage; Dishonesty and deliberate acts</w:t>
      </w:r>
    </w:p>
    <w:p>
      <w:pPr>
        <w:pStyle w:val="ListBullet"/>
        <w:spacing w:after="40"/>
      </w:pPr>
      <w:r>
        <w:rPr>
          <w:rFonts w:ascii="Arial" w:hAnsi="Arial" w:cs="Arial"/>
          <w:b w:val="0"/>
          <w:i w:val="0"/>
          <w:sz w:val="20"/>
        </w:rPr>
        <w:t>Contractual liability; Patents; Insolvency / bankruptcy; Fines and penalties</w:t>
      </w:r>
    </w:p>
    <w:p>
      <w:pPr>
        <w:pStyle w:val="ListBullet"/>
        <w:spacing w:after="40"/>
      </w:pPr>
      <w:r>
        <w:rPr>
          <w:rFonts w:ascii="Arial" w:hAnsi="Arial" w:cs="Arial"/>
          <w:b w:val="0"/>
          <w:i w:val="0"/>
          <w:sz w:val="20"/>
        </w:rPr>
        <w:t>Asbestos; Employers’ liability and claims by Employees</w:t>
      </w:r>
    </w:p>
    <w:p>
      <w:pPr>
        <w:spacing w:after="120" w:before="40"/>
      </w:pPr>
      <w:r>
        <w:rPr>
          <w:rFonts w:ascii="Arial" w:hAnsi="Arial" w:cs="Arial"/>
          <w:b w:val="0"/>
          <w:i/>
          <w:color w:val="595959"/>
          <w:sz w:val="18"/>
        </w:rPr>
        <w:t>Limits / sub-limits: Indemnity Limit as stated in the Schedule. Virus claims limited to the lower of the Schedule sum or GBP 500,000; Data Protection defence costs GBP 250,000; Reputation Management GBP 250,000; Withdrawal of Content GBP 250,000; IP pursuit costs GBP 25,000; court attendance GBP 500/GBP 250 per day.</w:t>
      </w:r>
    </w:p>
    <w:p>
      <w:pPr>
        <w:pStyle w:val="Heading1"/>
        <w:spacing w:before="280" w:after="80"/>
      </w:pPr>
      <w:r>
        <w:rPr>
          <w:rFonts w:ascii="Arial" w:hAnsi="Arial" w:cs="Arial"/>
          <w:b/>
          <w:i w:val="0"/>
          <w:color w:val="009CE5"/>
          <w:sz w:val="30"/>
        </w:rPr>
        <w:t>SECTION 13 – COMMERCIAL LEGAL EXPENSES (ARAG)</w:t>
      </w:r>
    </w:p>
    <w:p>
      <w:pPr>
        <w:spacing w:after="80" w:before="0"/>
      </w:pPr>
      <w:r>
        <w:rPr>
          <w:rFonts w:ascii="Arial" w:hAnsi="Arial" w:cs="Arial"/>
          <w:b w:val="0"/>
          <w:i w:val="0"/>
          <w:sz w:val="20"/>
        </w:rPr>
        <w:t>Legal Costs and Expenses (including appeals and certain compensation awards) following an Insured Event – covering employment, employment compensation awards, restrictive covenants, tax disputes and related matters – together with access to legal, tax, redundancy and counselling helplines and identity-theft resolution. Underwritten by ARAG and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Freedom to choose an Appointed Advisor once proceedings are issued</w:t>
      </w:r>
    </w:p>
    <w:p>
      <w:pPr>
        <w:pStyle w:val="ListBullet"/>
        <w:spacing w:after="40"/>
      </w:pPr>
      <w:r>
        <w:rPr>
          <w:rFonts w:ascii="Arial" w:hAnsi="Arial" w:cs="Arial"/>
          <w:b w:val="0"/>
          <w:i w:val="0"/>
          <w:sz w:val="20"/>
        </w:rPr>
        <w:t>Legal and Tax advice helpline; Redundancy Assistance helpline</w:t>
      </w:r>
    </w:p>
    <w:p>
      <w:pPr>
        <w:pStyle w:val="ListBullet"/>
        <w:spacing w:after="40"/>
      </w:pPr>
      <w:r>
        <w:rPr>
          <w:rFonts w:ascii="Arial" w:hAnsi="Arial" w:cs="Arial"/>
          <w:b w:val="0"/>
          <w:i w:val="0"/>
          <w:sz w:val="20"/>
        </w:rPr>
        <w:t>Identity Theft Resolution; Counselling Assistance</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The claim must always have Reasonable Prospects of Success, arise within the Territorial Limit and be reported during the Period of Insurance and as soon as the Insured is aware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Matters without Reasonable Prospects of Success (a greater than 50% chance)</w:t>
      </w:r>
    </w:p>
    <w:p>
      <w:pPr>
        <w:pStyle w:val="ListBullet"/>
        <w:spacing w:after="40"/>
      </w:pPr>
      <w:r>
        <w:rPr>
          <w:rFonts w:ascii="Arial" w:hAnsi="Arial" w:cs="Arial"/>
          <w:b w:val="0"/>
          <w:i w:val="0"/>
          <w:sz w:val="20"/>
        </w:rPr>
        <w:t>Matters arising before cover incepted (incl. redundancy notified within 180 days of inception unless prior equivalent cover)</w:t>
      </w:r>
    </w:p>
    <w:p>
      <w:pPr>
        <w:pStyle w:val="ListBullet"/>
        <w:spacing w:after="40"/>
      </w:pPr>
      <w:r>
        <w:rPr>
          <w:rFonts w:ascii="Arial" w:hAnsi="Arial" w:cs="Arial"/>
          <w:b w:val="0"/>
          <w:i w:val="0"/>
          <w:sz w:val="20"/>
        </w:rPr>
        <w:t>Fraudulent claims or claims tainted by dishonesty</w:t>
      </w:r>
    </w:p>
    <w:p>
      <w:pPr>
        <w:pStyle w:val="ListBullet"/>
        <w:spacing w:after="40"/>
      </w:pPr>
      <w:r>
        <w:rPr>
          <w:rFonts w:ascii="Arial" w:hAnsi="Arial" w:cs="Arial"/>
          <w:b w:val="0"/>
          <w:i w:val="0"/>
          <w:sz w:val="20"/>
        </w:rPr>
        <w:t>Costs incurred without the insurer’s consent; small claims below stated thresholds</w:t>
      </w:r>
    </w:p>
    <w:p>
      <w:pPr>
        <w:spacing w:after="120" w:before="40"/>
      </w:pPr>
      <w:r>
        <w:rPr>
          <w:rFonts w:ascii="Arial" w:hAnsi="Arial" w:cs="Arial"/>
          <w:b w:val="0"/>
          <w:i/>
          <w:color w:val="595959"/>
          <w:sz w:val="18"/>
        </w:rPr>
        <w:t>Limits / sub-limits: Up to GBP 100,000 for all claims related by time or originating cause; aggregate GBP 1,000,000 for Employment Compensation Awards; certain Executive Suite events sub-limited to GBP 25,000.</w:t>
      </w:r>
    </w:p>
    <w:p>
      <w:pPr>
        <w:pStyle w:val="Heading1"/>
        <w:spacing w:before="280" w:after="80"/>
      </w:pPr>
      <w:r>
        <w:rPr>
          <w:rFonts w:ascii="Arial" w:hAnsi="Arial" w:cs="Arial"/>
          <w:b/>
          <w:i w:val="0"/>
          <w:color w:val="009CE5"/>
          <w:sz w:val="30"/>
        </w:rPr>
        <w:t>SECTION 14 – MANAGEMENT LIABILITY (CLAIMS-MADE)</w:t>
      </w:r>
    </w:p>
    <w:p>
      <w:pPr>
        <w:spacing w:after="80" w:before="0"/>
      </w:pPr>
      <w:r>
        <w:rPr>
          <w:rFonts w:ascii="Arial" w:hAnsi="Arial" w:cs="Arial"/>
          <w:b w:val="0"/>
          <w:i w:val="0"/>
          <w:sz w:val="20"/>
        </w:rPr>
        <w:t>Directors’, officers’ and corporate management liability, written on a claims-made basis. Insuring clauses: A. Directors’ and Officers’ Liability; B. Company Reimbursement; C. Corporate Liability; and D. Company Employment Practice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Defence Costs and Investigation Costs</w:t>
      </w:r>
    </w:p>
    <w:p>
      <w:pPr>
        <w:pStyle w:val="ListBullet"/>
        <w:spacing w:after="40"/>
      </w:pPr>
      <w:r>
        <w:rPr>
          <w:rFonts w:ascii="Arial" w:hAnsi="Arial" w:cs="Arial"/>
          <w:b w:val="0"/>
          <w:i w:val="0"/>
          <w:sz w:val="20"/>
        </w:rPr>
        <w:t>Discovery Period; cover for Outside Directorships</w:t>
      </w:r>
    </w:p>
    <w:p>
      <w:pPr>
        <w:pStyle w:val="ListBullet"/>
        <w:spacing w:after="40"/>
      </w:pPr>
      <w:r>
        <w:rPr>
          <w:rFonts w:ascii="Arial" w:hAnsi="Arial" w:cs="Arial"/>
          <w:b w:val="0"/>
          <w:i w:val="0"/>
          <w:sz w:val="20"/>
        </w:rPr>
        <w:t>Non-Executive Director extra limit; Management Buy-Out</w:t>
      </w:r>
    </w:p>
    <w:p>
      <w:pPr>
        <w:pStyle w:val="ListBullet"/>
        <w:spacing w:after="40"/>
      </w:pPr>
      <w:r>
        <w:rPr>
          <w:rFonts w:ascii="Arial" w:hAnsi="Arial" w:cs="Arial"/>
          <w:b w:val="0"/>
          <w:i w:val="0"/>
          <w:sz w:val="20"/>
        </w:rPr>
        <w:t>Civil Fines and Penalties (where insurable); Corporate Manslaughter and Corporate Bribery defence; New Subsidiaries; Emergency Costs</w:t>
      </w:r>
    </w:p>
    <w:p>
      <w:pPr>
        <w:pStyle w:val="ListBullet"/>
        <w:spacing w:after="40"/>
      </w:pPr>
      <w:r>
        <w:rPr>
          <w:rFonts w:ascii="Arial" w:hAnsi="Arial" w:cs="Arial"/>
          <w:b w:val="0"/>
          <w:i w:val="0"/>
          <w:sz w:val="20"/>
        </w:rPr>
        <w:t>Employment Practice Liability cover</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Claims and circumstances must be notified in accordance with the Section’s own Notification and Claims Conditions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Prior and pending claims / known circumstances</w:t>
      </w:r>
    </w:p>
    <w:p>
      <w:pPr>
        <w:pStyle w:val="ListBullet"/>
        <w:spacing w:after="40"/>
      </w:pPr>
      <w:r>
        <w:rPr>
          <w:rFonts w:ascii="Arial" w:hAnsi="Arial" w:cs="Arial"/>
          <w:b w:val="0"/>
          <w:i w:val="0"/>
          <w:sz w:val="20"/>
        </w:rPr>
        <w:t>Dishonest, fraudulent or criminal conduct (once established)</w:t>
      </w:r>
    </w:p>
    <w:p>
      <w:pPr>
        <w:pStyle w:val="ListBullet"/>
        <w:spacing w:after="40"/>
      </w:pPr>
      <w:r>
        <w:rPr>
          <w:rFonts w:ascii="Arial" w:hAnsi="Arial" w:cs="Arial"/>
          <w:b w:val="0"/>
          <w:i w:val="0"/>
          <w:sz w:val="20"/>
        </w:rPr>
        <w:t>Bodily injury and property damage; Pollution</w:t>
      </w:r>
    </w:p>
    <w:p>
      <w:pPr>
        <w:pStyle w:val="ListBullet"/>
        <w:spacing w:after="40"/>
      </w:pPr>
      <w:r>
        <w:rPr>
          <w:rFonts w:ascii="Arial" w:hAnsi="Arial" w:cs="Arial"/>
          <w:b w:val="0"/>
          <w:i w:val="0"/>
          <w:sz w:val="20"/>
        </w:rPr>
        <w:t>Insured v Insured claims (subject to carve-backs)</w:t>
      </w:r>
    </w:p>
    <w:p>
      <w:pPr>
        <w:pStyle w:val="ListBullet"/>
        <w:spacing w:after="40"/>
      </w:pPr>
      <w:r>
        <w:rPr>
          <w:rFonts w:ascii="Arial" w:hAnsi="Arial" w:cs="Arial"/>
          <w:b w:val="0"/>
          <w:i w:val="0"/>
          <w:sz w:val="20"/>
        </w:rPr>
        <w:t>Loss exclusions (taxes, employment-related benefits, severance/redundancy, sums not legally insurable)</w:t>
      </w:r>
    </w:p>
    <w:p>
      <w:pPr>
        <w:spacing w:after="120" w:before="40"/>
      </w:pPr>
      <w:r>
        <w:rPr>
          <w:rFonts w:ascii="Arial" w:hAnsi="Arial" w:cs="Arial"/>
          <w:b w:val="0"/>
          <w:i/>
          <w:color w:val="595959"/>
          <w:sz w:val="18"/>
        </w:rPr>
        <w:t>Limits / sub-limits: Limit of Liability per insuring clause as stated in the Schedule; Jurisdiction worldwide excluding USA/Canada unless stated otherwise in the Schedule.</w:t>
      </w:r>
    </w:p>
    <w:p>
      <w:pPr>
        <w:pStyle w:val="Heading1"/>
        <w:spacing w:before="280" w:after="80"/>
      </w:pPr>
      <w:r>
        <w:rPr>
          <w:rFonts w:ascii="Arial" w:hAnsi="Arial" w:cs="Arial"/>
          <w:b/>
          <w:i w:val="0"/>
          <w:color w:val="009CE5"/>
          <w:sz w:val="30"/>
        </w:rPr>
        <w:t>SECTION 15 – CYBERGUARD™ (CYBER LIABILITY)</w:t>
      </w:r>
    </w:p>
    <w:p>
      <w:pPr>
        <w:spacing w:after="80" w:before="0"/>
      </w:pPr>
      <w:r>
        <w:rPr>
          <w:rFonts w:ascii="Arial" w:hAnsi="Arial" w:cs="Arial"/>
          <w:b w:val="0"/>
          <w:i w:val="0"/>
          <w:sz w:val="20"/>
        </w:rPr>
        <w:t>First-party and third-party cyber cover, written on a claims-made / discovered basis and subject to a Retroactive Date. Third-party insuring clauses: Multimedia Liability; Security and Privacy Liability; Privacy Regulatory Defence and Penalties; PCI DSS Liability; and Bodily Injury and Property Damage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First-party: Breach Event Costs and BrandGuard</w:t>
      </w:r>
    </w:p>
    <w:p>
      <w:pPr>
        <w:pStyle w:val="ListBullet"/>
        <w:spacing w:after="40"/>
      </w:pPr>
      <w:r>
        <w:rPr>
          <w:rFonts w:ascii="Arial" w:hAnsi="Arial" w:cs="Arial"/>
          <w:b w:val="0"/>
          <w:i w:val="0"/>
          <w:sz w:val="20"/>
        </w:rPr>
        <w:t>First-party: System Failure and Data Recovery</w:t>
      </w:r>
    </w:p>
    <w:p>
      <w:pPr>
        <w:pStyle w:val="ListBullet"/>
        <w:spacing w:after="40"/>
      </w:pPr>
      <w:r>
        <w:rPr>
          <w:rFonts w:ascii="Arial" w:hAnsi="Arial" w:cs="Arial"/>
          <w:b w:val="0"/>
          <w:i w:val="0"/>
          <w:sz w:val="20"/>
        </w:rPr>
        <w:t>First-party: Non-Physical Business Interruption (subject to a Waiting Period)</w:t>
      </w:r>
    </w:p>
    <w:p>
      <w:pPr>
        <w:pStyle w:val="ListBullet"/>
        <w:spacing w:after="40"/>
      </w:pPr>
      <w:r>
        <w:rPr>
          <w:rFonts w:ascii="Arial" w:hAnsi="Arial" w:cs="Arial"/>
          <w:b w:val="0"/>
          <w:i w:val="0"/>
          <w:sz w:val="20"/>
        </w:rPr>
        <w:t>First-party: Cyber Extortion and Cyber Crime (Financial, Phishing, Telecommunications and Utilities Fraud)</w:t>
      </w:r>
    </w:p>
    <w:p>
      <w:pPr>
        <w:pStyle w:val="ListBullet"/>
        <w:spacing w:after="40"/>
      </w:pPr>
      <w:r>
        <w:rPr>
          <w:rFonts w:ascii="Arial" w:hAnsi="Arial" w:cs="Arial"/>
          <w:b w:val="0"/>
          <w:i w:val="0"/>
          <w:sz w:val="20"/>
        </w:rPr>
        <w:t>First-party: Bricking Loss; Reward Expenses; Court Attendance Costs (up to GBP 500 per day)</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Cyber Extortion Monies require the insurer’s prior written consent and the Police must be notified before any payment; first-party covers require discovery by an Executive during the Period of Insurance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War and failure of core infrastructure</w:t>
      </w:r>
    </w:p>
    <w:p>
      <w:pPr>
        <w:pStyle w:val="ListBullet"/>
        <w:spacing w:after="40"/>
      </w:pPr>
      <w:r>
        <w:rPr>
          <w:rFonts w:ascii="Arial" w:hAnsi="Arial" w:cs="Arial"/>
          <w:b w:val="0"/>
          <w:i w:val="0"/>
          <w:sz w:val="20"/>
        </w:rPr>
        <w:t>Bodily injury and property damage (save where specifically written back)</w:t>
      </w:r>
    </w:p>
    <w:p>
      <w:pPr>
        <w:pStyle w:val="ListBullet"/>
        <w:spacing w:after="40"/>
      </w:pPr>
      <w:r>
        <w:rPr>
          <w:rFonts w:ascii="Arial" w:hAnsi="Arial" w:cs="Arial"/>
          <w:b w:val="0"/>
          <w:i w:val="0"/>
          <w:sz w:val="20"/>
        </w:rPr>
        <w:t>Prior known incidents or circumstances</w:t>
      </w:r>
    </w:p>
    <w:p>
      <w:pPr>
        <w:pStyle w:val="ListBullet"/>
        <w:spacing w:after="40"/>
      </w:pPr>
      <w:r>
        <w:rPr>
          <w:rFonts w:ascii="Arial" w:hAnsi="Arial" w:cs="Arial"/>
          <w:b w:val="0"/>
          <w:i w:val="0"/>
          <w:sz w:val="20"/>
        </w:rPr>
        <w:t>Betterment / upgrade costs</w:t>
      </w:r>
    </w:p>
    <w:p>
      <w:pPr>
        <w:spacing w:after="120" w:before="40"/>
      </w:pPr>
      <w:r>
        <w:rPr>
          <w:rFonts w:ascii="Arial" w:hAnsi="Arial" w:cs="Arial"/>
          <w:b w:val="0"/>
          <w:i/>
          <w:color w:val="595959"/>
          <w:sz w:val="18"/>
        </w:rPr>
        <w:t>Limits / sub-limits: Up to the Cyber Limit of Liability stated in the Schedule; sub-limits, Waiting Periods, Periods of Restoration and Retroactive Date apply as stated.</w:t>
      </w:r>
    </w:p>
    <w:p>
      <w:pPr>
        <w:pStyle w:val="Heading1"/>
        <w:spacing w:before="280" w:after="80"/>
      </w:pPr>
      <w:r>
        <w:rPr>
          <w:rFonts w:ascii="Arial" w:hAnsi="Arial" w:cs="Arial"/>
          <w:b/>
          <w:i w:val="0"/>
          <w:color w:val="009CE5"/>
          <w:sz w:val="30"/>
        </w:rPr>
        <w:t>GENERAL POLICY EXCLUSIONS (APPLY ACROSS SECTIONS 1–11)</w:t>
      </w:r>
    </w:p>
    <w:p>
      <w:pPr>
        <w:spacing w:after="120" w:before="0"/>
      </w:pPr>
      <w:r>
        <w:rPr>
          <w:rFonts w:ascii="Arial" w:hAnsi="Arial" w:cs="Arial"/>
          <w:b w:val="0"/>
          <w:i w:val="0"/>
          <w:sz w:val="20"/>
        </w:rPr>
        <w:t>The following General Policy Exclusions apply unless a Section states otherwise. Sections 13, 14 and 15 carry their own exclusions which prevail for those Sections:</w:t>
      </w:r>
    </w:p>
    <w:p>
      <w:pPr>
        <w:pStyle w:val="ListBullet"/>
        <w:spacing w:after="40"/>
      </w:pPr>
      <w:r>
        <w:rPr>
          <w:rFonts w:ascii="Arial" w:hAnsi="Arial" w:cs="Arial"/>
          <w:b w:val="0"/>
          <w:i w:val="0"/>
          <w:sz w:val="20"/>
        </w:rPr>
        <w:t>Communicable Disease (not applicable to EL/PL/Products)</w:t>
      </w:r>
    </w:p>
    <w:p>
      <w:pPr>
        <w:pStyle w:val="ListBullet"/>
        <w:spacing w:after="40"/>
      </w:pPr>
      <w:r>
        <w:rPr>
          <w:rFonts w:ascii="Arial" w:hAnsi="Arial" w:cs="Arial"/>
          <w:b w:val="0"/>
          <w:i w:val="0"/>
          <w:sz w:val="20"/>
        </w:rPr>
        <w:t>Contribution (where other insurance applies)</w:t>
      </w:r>
    </w:p>
    <w:p>
      <w:pPr>
        <w:pStyle w:val="ListBullet"/>
        <w:spacing w:after="40"/>
      </w:pPr>
      <w:r>
        <w:rPr>
          <w:rFonts w:ascii="Arial" w:hAnsi="Arial" w:cs="Arial"/>
          <w:b w:val="0"/>
          <w:i w:val="0"/>
          <w:sz w:val="20"/>
        </w:rPr>
        <w:t>Coronavirus / Covid-19 (added to Public and Products Liability where shown in the Schedule)</w:t>
      </w:r>
    </w:p>
    <w:p>
      <w:pPr>
        <w:pStyle w:val="ListBullet"/>
        <w:spacing w:after="40"/>
      </w:pPr>
      <w:r>
        <w:rPr>
          <w:rFonts w:ascii="Arial" w:hAnsi="Arial" w:cs="Arial"/>
          <w:b w:val="0"/>
          <w:i w:val="0"/>
          <w:sz w:val="20"/>
        </w:rPr>
        <w:t>Date Recognition; Excess; Fines and Penalties</w:t>
      </w:r>
    </w:p>
    <w:p>
      <w:pPr>
        <w:pStyle w:val="ListBullet"/>
        <w:spacing w:after="40"/>
      </w:pPr>
      <w:r>
        <w:rPr>
          <w:rFonts w:ascii="Arial" w:hAnsi="Arial" w:cs="Arial"/>
          <w:b w:val="0"/>
          <w:i w:val="0"/>
          <w:sz w:val="20"/>
        </w:rPr>
        <w:t>Northern Ireland (riot/civil commotion – specified Sections)</w:t>
      </w:r>
    </w:p>
    <w:p>
      <w:pPr>
        <w:pStyle w:val="ListBullet"/>
        <w:spacing w:after="40"/>
      </w:pPr>
      <w:r>
        <w:rPr>
          <w:rFonts w:ascii="Arial" w:hAnsi="Arial" w:cs="Arial"/>
          <w:b w:val="0"/>
          <w:i w:val="0"/>
          <w:sz w:val="20"/>
        </w:rPr>
        <w:t>Nuclear; Pollution (specified Sections; limited Production Property write-back to GBP 500,000)</w:t>
      </w:r>
    </w:p>
    <w:p>
      <w:pPr>
        <w:pStyle w:val="ListBullet"/>
        <w:spacing w:after="40"/>
      </w:pPr>
      <w:r>
        <w:rPr>
          <w:rFonts w:ascii="Arial" w:hAnsi="Arial" w:cs="Arial"/>
          <w:b w:val="0"/>
          <w:i w:val="0"/>
          <w:sz w:val="20"/>
        </w:rPr>
        <w:t>Property Cyber and Data Endorsement – excludes Cyber Loss and loss of/ damage to Data, with limited write-backs for ensuing fire/explosion and the cost of repairing data-processing media</w:t>
      </w:r>
    </w:p>
    <w:p>
      <w:pPr>
        <w:pStyle w:val="ListBullet"/>
        <w:spacing w:after="40"/>
      </w:pPr>
      <w:r>
        <w:rPr>
          <w:rFonts w:ascii="Arial" w:hAnsi="Arial" w:cs="Arial"/>
          <w:b w:val="0"/>
          <w:i w:val="0"/>
          <w:sz w:val="20"/>
        </w:rPr>
        <w:t>Sonic Bang; Terrorism (non-Terrorism Sections); War &amp; Kindred Risks</w:t>
      </w:r>
    </w:p>
    <w:p>
      <w:pPr>
        <w:pStyle w:val="Heading1"/>
        <w:spacing w:before="280" w:after="80"/>
      </w:pPr>
      <w:r>
        <w:rPr>
          <w:rFonts w:ascii="Arial" w:hAnsi="Arial" w:cs="Arial"/>
          <w:b/>
          <w:i w:val="0"/>
          <w:color w:val="009CE5"/>
          <w:sz w:val="30"/>
        </w:rPr>
        <w:t>KEY CONDITIONS AND CLAIMS OBLIGATIONS</w:t>
      </w:r>
    </w:p>
    <w:p>
      <w:pPr>
        <w:pStyle w:val="ListBullet"/>
        <w:spacing w:after="40"/>
      </w:pPr>
      <w:r>
        <w:rPr>
          <w:rFonts w:ascii="Arial" w:hAnsi="Arial" w:cs="Arial"/>
          <w:b w:val="0"/>
          <w:i w:val="0"/>
          <w:sz w:val="20"/>
        </w:rPr>
        <w:t>Notification of a claim (Sections 1–11): the Insured must notify the Insurer as soon as practicable. This is an obligation – it is NOT, in the final wording, a blanket condition precedent for Sections 1–11.</w:t>
      </w:r>
    </w:p>
    <w:p>
      <w:pPr>
        <w:pStyle w:val="ListBullet"/>
        <w:spacing w:after="40"/>
      </w:pPr>
      <w:r>
        <w:rPr>
          <w:rFonts w:ascii="Arial" w:hAnsi="Arial" w:cs="Arial"/>
          <w:b w:val="0"/>
          <w:i w:val="0"/>
          <w:sz w:val="20"/>
        </w:rPr>
        <w:t>Notification to the Police following theft, attempted theft or malicious damage is a Condition Precedent.</w:t>
      </w:r>
    </w:p>
    <w:p>
      <w:pPr>
        <w:pStyle w:val="ListBullet"/>
        <w:spacing w:after="40"/>
      </w:pPr>
      <w:r>
        <w:rPr>
          <w:rFonts w:ascii="Arial" w:hAnsi="Arial" w:cs="Arial"/>
          <w:b w:val="0"/>
          <w:i w:val="0"/>
          <w:sz w:val="20"/>
        </w:rPr>
        <w:t>Admission of Liability: the Insured must not make any admission of liability, promise, payment, compensation, offer, negotiation or settlement of a claim without the Insurer’s written consent. In the final wording this is an ordinary condition (not a condition precedent): the Insurer may only rely on a breach to the extent its position has been prejudiced by the breach.</w:t>
      </w:r>
    </w:p>
    <w:p>
      <w:pPr>
        <w:pStyle w:val="ListBullet"/>
        <w:spacing w:after="40"/>
      </w:pPr>
      <w:r>
        <w:rPr>
          <w:rFonts w:ascii="Arial" w:hAnsi="Arial" w:cs="Arial"/>
          <w:b w:val="0"/>
          <w:i w:val="0"/>
          <w:sz w:val="20"/>
        </w:rPr>
        <w:t>Proof of Ownership and Value: following theft or loss, the Insurer may request reasonable evidence of ownership and value for any high value item or any item insured on an Agreed Value basis (e.g. invoices, valuations, photographs, serial numbers). An affected item’s claim may not be paid where the Insured fails to provide the evidence reasonably requested (item-level – not a blanket forfeiture).</w:t>
      </w:r>
    </w:p>
    <w:p>
      <w:pPr>
        <w:pStyle w:val="ListBullet"/>
        <w:spacing w:after="40"/>
      </w:pPr>
      <w:r>
        <w:rPr>
          <w:rFonts w:ascii="Arial" w:hAnsi="Arial" w:cs="Arial"/>
          <w:b w:val="0"/>
          <w:i w:val="0"/>
          <w:sz w:val="20"/>
        </w:rPr>
        <w:t>The Insured must take reasonable steps to mitigate loss and to maintain protections/security.</w:t>
      </w:r>
    </w:p>
    <w:p>
      <w:pPr>
        <w:pStyle w:val="ListBullet"/>
        <w:spacing w:after="40"/>
      </w:pPr>
      <w:r>
        <w:rPr>
          <w:rFonts w:ascii="Arial" w:hAnsi="Arial" w:cs="Arial"/>
          <w:b w:val="0"/>
          <w:i w:val="0"/>
          <w:sz w:val="20"/>
        </w:rPr>
        <w:t>Property Sections are subject to Protection &amp; Maintenance conditions (fire protection, minimum security, intruder alarm and unoccupancy) – several are conditions precedent.</w:t>
      </w:r>
    </w:p>
    <w:p>
      <w:pPr>
        <w:pStyle w:val="ListBullet"/>
        <w:spacing w:after="40"/>
      </w:pPr>
      <w:r>
        <w:rPr>
          <w:rFonts w:ascii="Arial" w:hAnsi="Arial" w:cs="Arial"/>
          <w:b w:val="0"/>
          <w:i w:val="0"/>
          <w:sz w:val="20"/>
        </w:rPr>
        <w:t>Sections 12–15 operate on a claims-made basis and have their own notification and claims conditions (e.g. 28-day notification for Media and Production Indemnity; separate notice provisions for Management Liability and Cyber).</w:t>
      </w:r>
    </w:p>
    <w:p>
      <w:pPr>
        <w:pStyle w:val="ListBullet"/>
        <w:spacing w:after="40"/>
      </w:pPr>
      <w:r>
        <w:rPr>
          <w:rFonts w:ascii="Arial" w:hAnsi="Arial" w:cs="Arial"/>
          <w:b w:val="0"/>
          <w:i w:val="0"/>
          <w:sz w:val="20"/>
        </w:rPr>
        <w:t>Cover is subject to Average (underinsurance) and to payment of premium.</w:t>
      </w:r>
    </w:p>
    <w:p>
      <w:pPr>
        <w:pStyle w:val="Heading1"/>
        <w:spacing w:before="280" w:after="80"/>
      </w:pPr>
      <w:r>
        <w:rPr>
          <w:rFonts w:ascii="Arial" w:hAnsi="Arial" w:cs="Arial"/>
          <w:b/>
          <w:i w:val="0"/>
          <w:color w:val="009CE5"/>
          <w:sz w:val="30"/>
        </w:rPr>
        <w:t>LIMITS, SUB-LIMITS AND EXCESSES</w:t>
      </w:r>
    </w:p>
    <w:p>
      <w:pPr>
        <w:spacing w:after="120" w:before="0"/>
      </w:pPr>
      <w:r>
        <w:rPr>
          <w:rFonts w:ascii="Arial" w:hAnsi="Arial" w:cs="Arial"/>
          <w:b w:val="0"/>
          <w:i/>
          <w:color w:val="595959"/>
          <w:sz w:val="18"/>
        </w:rPr>
        <w:t>Principal limits and sub-limits referenced in the wording are summarised below. All sums insured, limits of indemnity and excesses are as stated in the Schedule, which prevails.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600"/>
            <w:shd w:val="clear" w:color="auto" w:fill="009CE5"/>
          </w:tcPr>
          <w:p>
            <w:pPr>
              <w:spacing w:after="20" w:before="20"/>
            </w:pPr>
            <w:r/>
            <w:r>
              <w:rPr>
                <w:rFonts w:ascii="Arial" w:hAnsi="Arial" w:cs="Arial"/>
                <w:b/>
                <w:i w:val="0"/>
                <w:color w:val="FFFFFF"/>
                <w:sz w:val="18"/>
              </w:rPr>
              <w:t>Cover / item</w:t>
            </w:r>
          </w:p>
        </w:tc>
        <w:tc>
          <w:tcPr>
            <w:tcW w:type="dxa" w:w="2900"/>
            <w:shd w:val="clear" w:color="auto" w:fill="009CE5"/>
          </w:tcPr>
          <w:p>
            <w:pPr>
              <w:spacing w:after="20" w:before="20"/>
            </w:pPr>
            <w:r/>
            <w:r>
              <w:rPr>
                <w:rFonts w:ascii="Arial" w:hAnsi="Arial" w:cs="Arial"/>
                <w:b/>
                <w:i w:val="0"/>
                <w:color w:val="FFFFFF"/>
                <w:sz w:val="18"/>
              </w:rPr>
              <w:t>Limit or sub-limit</w:t>
            </w:r>
          </w:p>
        </w:tc>
        <w:tc>
          <w:tcPr>
            <w:tcW w:type="dxa" w:w="3200"/>
            <w:shd w:val="clear" w:color="auto" w:fill="009CE5"/>
          </w:tcPr>
          <w:p>
            <w:pPr>
              <w:spacing w:after="20" w:before="20"/>
            </w:pPr>
            <w:r/>
            <w:r>
              <w:rPr>
                <w:rFonts w:ascii="Arial" w:hAnsi="Arial" w:cs="Arial"/>
                <w:b/>
                <w:i w:val="0"/>
                <w:color w:val="FFFFFF"/>
                <w:sz w:val="18"/>
              </w:rPr>
              <w:t>Notes</w:t>
            </w:r>
          </w:p>
        </w:tc>
      </w:tr>
      <w:tr>
        <w:tc>
          <w:tcPr>
            <w:tcW w:type="dxa" w:w="3600"/>
          </w:tcPr>
          <w:p>
            <w:pPr>
              <w:spacing w:after="20" w:before="20"/>
            </w:pPr>
            <w:r/>
            <w:r>
              <w:rPr>
                <w:rFonts w:ascii="Arial" w:hAnsi="Arial" w:cs="Arial"/>
                <w:b w:val="0"/>
                <w:i w:val="0"/>
                <w:color w:val="212121"/>
                <w:sz w:val="18"/>
              </w:rPr>
              <w:t>Section 2 – Artists’ Technical Equipment</w:t>
            </w:r>
          </w:p>
        </w:tc>
        <w:tc>
          <w:tcPr>
            <w:tcW w:type="dxa" w:w="2900"/>
          </w:tcPr>
          <w:p>
            <w:pPr>
              <w:spacing w:after="20" w:before="20"/>
            </w:pPr>
            <w:r/>
            <w:r>
              <w:rPr>
                <w:rFonts w:ascii="Arial" w:hAnsi="Arial" w:cs="Arial"/>
                <w:b w:val="0"/>
                <w:i w:val="0"/>
                <w:color w:val="212121"/>
                <w:sz w:val="18"/>
              </w:rPr>
              <w:t>GBP 20,000</w:t>
            </w:r>
          </w:p>
        </w:tc>
        <w:tc>
          <w:tcPr>
            <w:tcW w:type="dxa" w:w="3200"/>
          </w:tcPr>
          <w:p>
            <w:pPr>
              <w:spacing w:after="20" w:before="20"/>
            </w:pPr>
            <w:r/>
            <w:r>
              <w:rPr>
                <w:rFonts w:ascii="Arial" w:hAnsi="Arial" w:cs="Arial"/>
                <w:b w:val="0"/>
                <w:i w:val="0"/>
                <w:color w:val="212121"/>
                <w:sz w:val="18"/>
              </w:rPr>
              <w:t>Any one occurrence &amp; aggregate</w:t>
            </w:r>
          </w:p>
        </w:tc>
      </w:tr>
      <w:tr>
        <w:tc>
          <w:tcPr>
            <w:tcW w:type="dxa" w:w="3600"/>
          </w:tcPr>
          <w:p>
            <w:pPr>
              <w:spacing w:after="20" w:before="20"/>
            </w:pPr>
            <w:r/>
            <w:r>
              <w:rPr>
                <w:rFonts w:ascii="Arial" w:hAnsi="Arial" w:cs="Arial"/>
                <w:b w:val="0"/>
                <w:i w:val="0"/>
                <w:color w:val="212121"/>
                <w:sz w:val="18"/>
              </w:rPr>
              <w:t>Section 2 – Declared General Average</w:t>
            </w:r>
          </w:p>
        </w:tc>
        <w:tc>
          <w:tcPr>
            <w:tcW w:type="dxa" w:w="2900"/>
          </w:tcPr>
          <w:p>
            <w:pPr>
              <w:spacing w:after="20" w:before="20"/>
            </w:pPr>
            <w:r/>
            <w:r>
              <w:rPr>
                <w:rFonts w:ascii="Arial" w:hAnsi="Arial" w:cs="Arial"/>
                <w:b w:val="0"/>
                <w:i w:val="0"/>
                <w:color w:val="212121"/>
                <w:sz w:val="18"/>
              </w:rPr>
              <w:t>GBP 10,000 aggregate</w:t>
            </w:r>
          </w:p>
        </w:tc>
        <w:tc>
          <w:tcPr>
            <w:tcW w:type="dxa" w:w="3200"/>
          </w:tcPr>
          <w:p>
            <w:pPr>
              <w:spacing w:after="20" w:before="20"/>
            </w:pPr>
            <w:r/>
            <w:r>
              <w:rPr>
                <w:rFonts w:ascii="Arial" w:hAnsi="Arial" w:cs="Arial"/>
                <w:b w:val="0"/>
                <w:i w:val="0"/>
                <w:color w:val="212121"/>
                <w:sz w:val="18"/>
              </w:rPr>
              <w:t>Insured bears first 10%, min GBP 250</w:t>
            </w:r>
          </w:p>
        </w:tc>
      </w:tr>
      <w:tr>
        <w:tc>
          <w:tcPr>
            <w:tcW w:type="dxa" w:w="3600"/>
          </w:tcPr>
          <w:p>
            <w:pPr>
              <w:spacing w:after="20" w:before="20"/>
            </w:pPr>
            <w:r/>
            <w:r>
              <w:rPr>
                <w:rFonts w:ascii="Arial" w:hAnsi="Arial" w:cs="Arial"/>
                <w:b w:val="0"/>
                <w:i w:val="0"/>
                <w:color w:val="212121"/>
                <w:sz w:val="18"/>
              </w:rPr>
              <w:t>Valuables (undeclared)</w:t>
            </w:r>
          </w:p>
        </w:tc>
        <w:tc>
          <w:tcPr>
            <w:tcW w:type="dxa" w:w="2900"/>
          </w:tcPr>
          <w:p>
            <w:pPr>
              <w:spacing w:after="20" w:before="20"/>
            </w:pPr>
            <w:r/>
            <w:r>
              <w:rPr>
                <w:rFonts w:ascii="Arial" w:hAnsi="Arial" w:cs="Arial"/>
                <w:b w:val="0"/>
                <w:i w:val="0"/>
                <w:color w:val="212121"/>
                <w:sz w:val="18"/>
              </w:rPr>
              <w:t>GBP 10,000</w:t>
            </w:r>
          </w:p>
        </w:tc>
        <w:tc>
          <w:tcPr>
            <w:tcW w:type="dxa" w:w="3200"/>
          </w:tcPr>
          <w:p>
            <w:pPr>
              <w:spacing w:after="20" w:before="20"/>
            </w:pPr>
            <w:r/>
            <w:r>
              <w:rPr>
                <w:rFonts w:ascii="Arial" w:hAnsi="Arial" w:cs="Arial"/>
                <w:b w:val="0"/>
                <w:i w:val="0"/>
                <w:color w:val="212121"/>
                <w:sz w:val="18"/>
              </w:rPr>
              <w:t>Unless declared and accepted</w:t>
            </w:r>
          </w:p>
        </w:tc>
      </w:tr>
      <w:tr>
        <w:tc>
          <w:tcPr>
            <w:tcW w:type="dxa" w:w="3600"/>
          </w:tcPr>
          <w:p>
            <w:pPr>
              <w:spacing w:after="20" w:before="20"/>
            </w:pPr>
            <w:r/>
            <w:r>
              <w:rPr>
                <w:rFonts w:ascii="Arial" w:hAnsi="Arial" w:cs="Arial"/>
                <w:b w:val="0"/>
                <w:i w:val="0"/>
                <w:color w:val="212121"/>
                <w:sz w:val="18"/>
              </w:rPr>
              <w:t>Criminal Prosecution Defence Costs (EL/PL)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5,000,000 for manslaughter</w:t>
            </w:r>
          </w:p>
        </w:tc>
      </w:tr>
      <w:tr>
        <w:tc>
          <w:tcPr>
            <w:tcW w:type="dxa" w:w="3600"/>
          </w:tcPr>
          <w:p>
            <w:pPr>
              <w:spacing w:after="20" w:before="20"/>
            </w:pPr>
            <w:r/>
            <w:r>
              <w:rPr>
                <w:rFonts w:ascii="Arial" w:hAnsi="Arial" w:cs="Arial"/>
                <w:b w:val="0"/>
                <w:i w:val="0"/>
                <w:color w:val="212121"/>
                <w:sz w:val="18"/>
              </w:rPr>
              <w:t>Asbestos fire/explosion write-back (EL/Products)</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Bodily injury from fire/explosion</w:t>
            </w:r>
          </w:p>
        </w:tc>
      </w:tr>
      <w:tr>
        <w:tc>
          <w:tcPr>
            <w:tcW w:type="dxa" w:w="3600"/>
          </w:tcPr>
          <w:p>
            <w:pPr>
              <w:spacing w:after="20" w:before="20"/>
            </w:pPr>
            <w:r/>
            <w:r>
              <w:rPr>
                <w:rFonts w:ascii="Arial" w:hAnsi="Arial" w:cs="Arial"/>
                <w:b w:val="0"/>
                <w:i w:val="0"/>
                <w:color w:val="212121"/>
                <w:sz w:val="18"/>
              </w:rPr>
              <w:t>Public Liability – Custody/Control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2,500 excess each claim</w:t>
            </w:r>
          </w:p>
        </w:tc>
      </w:tr>
      <w:tr>
        <w:tc>
          <w:tcPr>
            <w:tcW w:type="dxa" w:w="3600"/>
          </w:tcPr>
          <w:p>
            <w:pPr>
              <w:spacing w:after="20" w:before="20"/>
            </w:pPr>
            <w:r/>
            <w:r>
              <w:rPr>
                <w:rFonts w:ascii="Arial" w:hAnsi="Arial" w:cs="Arial"/>
                <w:b w:val="0"/>
                <w:i w:val="0"/>
                <w:color w:val="212121"/>
                <w:sz w:val="18"/>
              </w:rPr>
              <w:t>Pollution write-back (Production Property)</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Where applicable</w:t>
            </w:r>
          </w:p>
        </w:tc>
      </w:tr>
      <w:tr>
        <w:tc>
          <w:tcPr>
            <w:tcW w:type="dxa" w:w="3600"/>
          </w:tcPr>
          <w:p>
            <w:pPr>
              <w:spacing w:after="20" w:before="20"/>
            </w:pPr>
            <w:r/>
            <w:r>
              <w:rPr>
                <w:rFonts w:ascii="Arial" w:hAnsi="Arial" w:cs="Arial"/>
                <w:b w:val="0"/>
                <w:i w:val="0"/>
                <w:color w:val="212121"/>
                <w:sz w:val="18"/>
              </w:rPr>
              <w:t>Section 11 – Agency &amp; Talent Costs</w:t>
            </w:r>
          </w:p>
        </w:tc>
        <w:tc>
          <w:tcPr>
            <w:tcW w:type="dxa" w:w="2900"/>
          </w:tcPr>
          <w:p>
            <w:pPr>
              <w:spacing w:after="20" w:before="20"/>
            </w:pPr>
            <w:r/>
            <w:r>
              <w:rPr>
                <w:rFonts w:ascii="Arial" w:hAnsi="Arial" w:cs="Arial"/>
                <w:b w:val="0"/>
                <w:i w:val="0"/>
                <w:color w:val="212121"/>
                <w:sz w:val="18"/>
              </w:rPr>
              <w:t>GBP 30,000</w:t>
            </w:r>
          </w:p>
        </w:tc>
        <w:tc>
          <w:tcPr>
            <w:tcW w:type="dxa" w:w="3200"/>
          </w:tcPr>
          <w:p>
            <w:pPr>
              <w:spacing w:after="20" w:before="20"/>
            </w:pPr>
            <w:r/>
            <w:r>
              <w:rPr>
                <w:rFonts w:ascii="Arial" w:hAnsi="Arial" w:cs="Arial"/>
                <w:b w:val="0"/>
                <w:i w:val="0"/>
                <w:color w:val="212121"/>
                <w:sz w:val="18"/>
              </w:rPr>
              <w:t>Up to 25%, any one Production</w:t>
            </w:r>
          </w:p>
        </w:tc>
      </w:tr>
      <w:tr>
        <w:tc>
          <w:tcPr>
            <w:tcW w:type="dxa" w:w="3600"/>
          </w:tcPr>
          <w:p>
            <w:pPr>
              <w:spacing w:after="20" w:before="20"/>
            </w:pPr>
            <w:r/>
            <w:r>
              <w:rPr>
                <w:rFonts w:ascii="Arial" w:hAnsi="Arial" w:cs="Arial"/>
                <w:b w:val="0"/>
                <w:i w:val="0"/>
                <w:color w:val="212121"/>
                <w:sz w:val="18"/>
              </w:rPr>
              <w:t>Section 12 – Virus claims</w:t>
            </w:r>
          </w:p>
        </w:tc>
        <w:tc>
          <w:tcPr>
            <w:tcW w:type="dxa" w:w="2900"/>
          </w:tcPr>
          <w:p>
            <w:pPr>
              <w:spacing w:after="20" w:before="20"/>
            </w:pPr>
            <w:r/>
            <w:r>
              <w:rPr>
                <w:rFonts w:ascii="Arial" w:hAnsi="Arial" w:cs="Arial"/>
                <w:b w:val="0"/>
                <w:i w:val="0"/>
                <w:color w:val="212121"/>
                <w:sz w:val="18"/>
              </w:rPr>
              <w:t>Lower of Schedule sum or GBP 500,000</w:t>
            </w:r>
          </w:p>
        </w:tc>
        <w:tc>
          <w:tcPr>
            <w:tcW w:type="dxa" w:w="3200"/>
          </w:tcPr>
          <w:p>
            <w:pPr>
              <w:spacing w:after="20" w:before="20"/>
            </w:pPr>
            <w:r/>
            <w:r>
              <w:rPr>
                <w:rFonts w:ascii="Arial" w:hAnsi="Arial" w:cs="Arial"/>
                <w:b w:val="0"/>
                <w:i w:val="0"/>
                <w:color w:val="212121"/>
                <w:sz w:val="18"/>
              </w:rPr>
              <w:t>Any one originating cause</w:t>
            </w:r>
          </w:p>
        </w:tc>
      </w:tr>
      <w:tr>
        <w:tc>
          <w:tcPr>
            <w:tcW w:type="dxa" w:w="3600"/>
          </w:tcPr>
          <w:p>
            <w:pPr>
              <w:spacing w:after="20" w:before="20"/>
            </w:pPr>
            <w:r/>
            <w:r>
              <w:rPr>
                <w:rFonts w:ascii="Arial" w:hAnsi="Arial" w:cs="Arial"/>
                <w:b w:val="0"/>
                <w:i w:val="0"/>
                <w:color w:val="212121"/>
                <w:sz w:val="18"/>
              </w:rPr>
              <w:t>Section 12 – Data Protection / Reputation / Withdrawal</w:t>
            </w:r>
          </w:p>
        </w:tc>
        <w:tc>
          <w:tcPr>
            <w:tcW w:type="dxa" w:w="2900"/>
          </w:tcPr>
          <w:p>
            <w:pPr>
              <w:spacing w:after="20" w:before="20"/>
            </w:pPr>
            <w:r/>
            <w:r>
              <w:rPr>
                <w:rFonts w:ascii="Arial" w:hAnsi="Arial" w:cs="Arial"/>
                <w:b w:val="0"/>
                <w:i w:val="0"/>
                <w:color w:val="212121"/>
                <w:sz w:val="18"/>
              </w:rPr>
              <w:t>GBP 250,000 each</w:t>
            </w:r>
          </w:p>
        </w:tc>
        <w:tc>
          <w:tcPr>
            <w:tcW w:type="dxa" w:w="3200"/>
          </w:tcPr>
          <w:p>
            <w:pPr>
              <w:spacing w:after="20" w:before="20"/>
            </w:pPr>
            <w:r/>
            <w:r>
              <w:rPr>
                <w:rFonts w:ascii="Arial" w:hAnsi="Arial" w:cs="Arial"/>
                <w:b w:val="0"/>
                <w:i w:val="0"/>
                <w:color w:val="212121"/>
                <w:sz w:val="18"/>
              </w:rPr>
              <w:t>As specified</w:t>
            </w:r>
          </w:p>
        </w:tc>
      </w:tr>
      <w:tr>
        <w:tc>
          <w:tcPr>
            <w:tcW w:type="dxa" w:w="3600"/>
          </w:tcPr>
          <w:p>
            <w:pPr>
              <w:spacing w:after="20" w:before="20"/>
            </w:pPr>
            <w:r/>
            <w:r>
              <w:rPr>
                <w:rFonts w:ascii="Arial" w:hAnsi="Arial" w:cs="Arial"/>
                <w:b w:val="0"/>
                <w:i w:val="0"/>
                <w:color w:val="212121"/>
                <w:sz w:val="18"/>
              </w:rPr>
              <w:t>Section 12 – IP pursuit costs</w:t>
            </w:r>
          </w:p>
        </w:tc>
        <w:tc>
          <w:tcPr>
            <w:tcW w:type="dxa" w:w="2900"/>
          </w:tcPr>
          <w:p>
            <w:pPr>
              <w:spacing w:after="20" w:before="20"/>
            </w:pPr>
            <w:r/>
            <w:r>
              <w:rPr>
                <w:rFonts w:ascii="Arial" w:hAnsi="Arial" w:cs="Arial"/>
                <w:b w:val="0"/>
                <w:i w:val="0"/>
                <w:color w:val="212121"/>
                <w:sz w:val="18"/>
              </w:rPr>
              <w:t>GBP 25,000 aggregate</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Section 13 – Legal Expenses</w:t>
            </w:r>
          </w:p>
        </w:tc>
        <w:tc>
          <w:tcPr>
            <w:tcW w:type="dxa" w:w="2900"/>
          </w:tcPr>
          <w:p>
            <w:pPr>
              <w:spacing w:after="20" w:before="20"/>
            </w:pPr>
            <w:r/>
            <w:r>
              <w:rPr>
                <w:rFonts w:ascii="Arial" w:hAnsi="Arial" w:cs="Arial"/>
                <w:b w:val="0"/>
                <w:i w:val="0"/>
                <w:color w:val="212121"/>
                <w:sz w:val="18"/>
              </w:rPr>
              <w:t>GBP 100,000 per claim</w:t>
            </w:r>
          </w:p>
        </w:tc>
        <w:tc>
          <w:tcPr>
            <w:tcW w:type="dxa" w:w="3200"/>
          </w:tcPr>
          <w:p>
            <w:pPr>
              <w:spacing w:after="20" w:before="20"/>
            </w:pPr>
            <w:r/>
            <w:r>
              <w:rPr>
                <w:rFonts w:ascii="Arial" w:hAnsi="Arial" w:cs="Arial"/>
                <w:b w:val="0"/>
                <w:i w:val="0"/>
                <w:color w:val="212121"/>
                <w:sz w:val="18"/>
              </w:rPr>
              <w:t>GBP 1,000,000 agg. employment compensation</w:t>
            </w:r>
          </w:p>
        </w:tc>
      </w:tr>
      <w:tr>
        <w:tc>
          <w:tcPr>
            <w:tcW w:type="dxa" w:w="3600"/>
          </w:tcPr>
          <w:p>
            <w:pPr>
              <w:spacing w:after="20" w:before="20"/>
            </w:pPr>
            <w:r/>
            <w:r>
              <w:rPr>
                <w:rFonts w:ascii="Arial" w:hAnsi="Arial" w:cs="Arial"/>
                <w:b w:val="0"/>
                <w:i w:val="0"/>
                <w:color w:val="212121"/>
                <w:sz w:val="18"/>
              </w:rPr>
              <w:t>Section 15 – Court Attendance Costs</w:t>
            </w:r>
          </w:p>
        </w:tc>
        <w:tc>
          <w:tcPr>
            <w:tcW w:type="dxa" w:w="2900"/>
          </w:tcPr>
          <w:p>
            <w:pPr>
              <w:spacing w:after="20" w:before="20"/>
            </w:pPr>
            <w:r/>
            <w:r>
              <w:rPr>
                <w:rFonts w:ascii="Arial" w:hAnsi="Arial" w:cs="Arial"/>
                <w:b w:val="0"/>
                <w:i w:val="0"/>
                <w:color w:val="212121"/>
                <w:sz w:val="18"/>
              </w:rPr>
              <w:t>GBP 500 per day</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All other limits / sums insured / excesses</w:t>
            </w:r>
          </w:p>
        </w:tc>
        <w:tc>
          <w:tcPr>
            <w:tcW w:type="dxa" w:w="2900"/>
          </w:tcPr>
          <w:p>
            <w:pPr>
              <w:spacing w:after="20" w:before="20"/>
            </w:pPr>
            <w:r/>
            <w:r>
              <w:rPr>
                <w:rFonts w:ascii="Arial" w:hAnsi="Arial" w:cs="Arial"/>
                <w:b w:val="0"/>
                <w:i w:val="0"/>
                <w:color w:val="212121"/>
                <w:sz w:val="18"/>
              </w:rPr>
              <w:t>As per Schedule</w:t>
            </w:r>
          </w:p>
        </w:tc>
        <w:tc>
          <w:tcPr>
            <w:tcW w:type="dxa" w:w="3200"/>
          </w:tcPr>
          <w:p>
            <w:pPr>
              <w:spacing w:after="20" w:before="20"/>
            </w:pPr>
            <w:r/>
            <w:r>
              <w:rPr>
                <w:rFonts w:ascii="Arial" w:hAnsi="Arial" w:cs="Arial"/>
                <w:b w:val="0"/>
                <w:i w:val="0"/>
                <w:color w:val="212121"/>
                <w:sz w:val="18"/>
              </w:rPr>
              <w:t>Schedule prevails</w:t>
            </w:r>
          </w:p>
        </w:tc>
      </w:tr>
    </w:tbl>
    <w:p>
      <w:pPr>
        <w:spacing w:after="80" w:before="0"/>
      </w:pPr>
    </w:p>
    <w:p>
      <w:pPr>
        <w:pStyle w:val="Heading1"/>
        <w:spacing w:before="280" w:after="80"/>
      </w:pPr>
      <w:r>
        <w:rPr>
          <w:rFonts w:ascii="Arial" w:hAnsi="Arial" w:cs="Arial"/>
          <w:b/>
          <w:i w:val="0"/>
          <w:color w:val="009CE5"/>
          <w:sz w:val="30"/>
        </w:rPr>
        <w:t>OPTIONAL COVERS AND ENDORSEMENTS</w:t>
      </w:r>
    </w:p>
    <w:p>
      <w:pPr>
        <w:pStyle w:val="ListBullet"/>
        <w:spacing w:after="40"/>
      </w:pPr>
      <w:r>
        <w:rPr>
          <w:rFonts w:ascii="Arial" w:hAnsi="Arial" w:cs="Arial"/>
          <w:b w:val="0"/>
          <w:i w:val="0"/>
          <w:sz w:val="20"/>
        </w:rPr>
        <w:t>Sections 4 (Terrorism), 10 (Loss of Licence), 13 (Legal Expenses), 14 (Management Liability) and 15 (Cyber) are operative only if shown in the Schedule.</w:t>
      </w:r>
    </w:p>
    <w:p>
      <w:pPr>
        <w:pStyle w:val="ListBullet"/>
        <w:spacing w:after="40"/>
      </w:pPr>
      <w:r>
        <w:rPr>
          <w:rFonts w:ascii="Arial" w:hAnsi="Arial" w:cs="Arial"/>
          <w:b w:val="0"/>
          <w:i w:val="0"/>
          <w:sz w:val="20"/>
        </w:rPr>
        <w:t>Section 2 optional covers: Hired-in / Hired-out property and Mechanical &amp; Electrical Breakdown.</w:t>
      </w:r>
    </w:p>
    <w:p>
      <w:pPr>
        <w:pStyle w:val="ListBullet"/>
        <w:spacing w:after="40"/>
      </w:pPr>
      <w:r>
        <w:rPr>
          <w:rFonts w:ascii="Arial" w:hAnsi="Arial" w:cs="Arial"/>
          <w:b w:val="0"/>
          <w:i w:val="0"/>
          <w:sz w:val="20"/>
        </w:rPr>
        <w:t>Section 3 optional extensions: Contract Sites, Non-Damage Denial of Access, Goods in Transit, Public Utilities Terminal Ends and Flexible Business Interruption Limit.</w:t>
      </w:r>
    </w:p>
    <w:p>
      <w:pPr>
        <w:pStyle w:val="ListBullet"/>
        <w:spacing w:after="40"/>
      </w:pPr>
      <w:r>
        <w:rPr>
          <w:rFonts w:ascii="Arial" w:hAnsi="Arial" w:cs="Arial"/>
          <w:b w:val="0"/>
          <w:i w:val="0"/>
          <w:sz w:val="20"/>
        </w:rPr>
        <w:t>Coronavirus / Covid-19 exclusion is applied to the liability Sections where shown in the Schedule.</w:t>
      </w:r>
    </w:p>
    <w:p>
      <w:pPr>
        <w:pStyle w:val="Heading1"/>
        <w:spacing w:before="280" w:after="80"/>
      </w:pPr>
      <w:r>
        <w:rPr>
          <w:rFonts w:ascii="Arial" w:hAnsi="Arial" w:cs="Arial"/>
          <w:b/>
          <w:i w:val="0"/>
          <w:color w:val="009CE5"/>
          <w:sz w:val="30"/>
        </w:rPr>
        <w:t>WHAT IS NOT COVERED (SUMMARY)</w:t>
      </w:r>
    </w:p>
    <w:p>
      <w:pPr>
        <w:spacing w:after="120" w:before="0"/>
      </w:pPr>
      <w:r>
        <w:rPr>
          <w:rFonts w:ascii="Arial" w:hAnsi="Arial" w:cs="Arial"/>
          <w:b w:val="0"/>
          <w:i w:val="0"/>
          <w:sz w:val="20"/>
        </w:rPr>
        <w:t>In addition to each Section’s own exclusions, the policy does not cover (among other things): communicable disease and Covid-19 (as applicable); cyber loss and loss of data (property Sections); war, terrorism (outside the Terrorism Section) and nuclear risks; pollution (outside limited write-backs); wear, tear and gradual deterioration; the Excess; fines, penalties and punitive damages (save where expressly insured); and deliberate, dishonest or criminal acts. This list is not exhaustive – refer to the wording.</w:t>
      </w:r>
    </w:p>
    <w:p>
      <w:pPr>
        <w:pStyle w:val="Heading1"/>
        <w:spacing w:before="280" w:after="80"/>
      </w:pPr>
      <w:r>
        <w:rPr>
          <w:rFonts w:ascii="Arial" w:hAnsi="Arial" w:cs="Arial"/>
          <w:b/>
          <w:i w:val="0"/>
          <w:color w:val="009CE5"/>
          <w:sz w:val="30"/>
        </w:rPr>
        <w:t>CLAIMS NOTIFICATION SUMMARY</w:t>
      </w:r>
    </w:p>
    <w:p>
      <w:pPr>
        <w:pStyle w:val="ListBullet"/>
        <w:spacing w:after="40"/>
      </w:pPr>
      <w:r>
        <w:rPr>
          <w:rFonts w:ascii="Arial" w:hAnsi="Arial" w:cs="Arial"/>
          <w:b w:val="0"/>
          <w:i w:val="0"/>
          <w:sz w:val="20"/>
        </w:rPr>
        <w:t>Property, BI, Liability, Money, Transit and Loss of Licence (Sections 1–11): notify as soon as practicable – Claims, Tokio Marine HCC, mail@tmhcc.com, Tel +44 (0)20 7702 4700.</w:t>
      </w:r>
    </w:p>
    <w:p>
      <w:pPr>
        <w:pStyle w:val="ListBullet"/>
        <w:spacing w:after="40"/>
      </w:pPr>
      <w:r>
        <w:rPr>
          <w:rFonts w:ascii="Arial" w:hAnsi="Arial" w:cs="Arial"/>
          <w:b w:val="0"/>
          <w:i w:val="0"/>
          <w:sz w:val="20"/>
        </w:rPr>
        <w:t>Media Liability and Production Indemnity (Sections 12–13 PI route): notify within 28 days – PI Claims, piclaims@tmhcc.com.</w:t>
      </w:r>
    </w:p>
    <w:p>
      <w:pPr>
        <w:pStyle w:val="ListBullet"/>
        <w:spacing w:after="40"/>
      </w:pPr>
      <w:r>
        <w:rPr>
          <w:rFonts w:ascii="Arial" w:hAnsi="Arial" w:cs="Arial"/>
          <w:b w:val="0"/>
          <w:i w:val="0"/>
          <w:sz w:val="20"/>
        </w:rPr>
        <w:t>Commercial Legal Expenses (Section 13): claims handled by ARAG – report during the Period of Insurance and as soon as the Insured is aware.</w:t>
      </w:r>
    </w:p>
    <w:p>
      <w:pPr>
        <w:pStyle w:val="ListBullet"/>
        <w:spacing w:after="40"/>
      </w:pPr>
      <w:r>
        <w:rPr>
          <w:rFonts w:ascii="Arial" w:hAnsi="Arial" w:cs="Arial"/>
          <w:b w:val="0"/>
          <w:i w:val="0"/>
          <w:sz w:val="20"/>
        </w:rPr>
        <w:t>Management Liability and Cyber (Sections 14–15): notify in accordance with the Section’s own notice provisions, during the Period of Insurance (or Discovery Period where applicable).</w:t>
      </w:r>
    </w:p>
    <w:p>
      <w:pPr>
        <w:pStyle w:val="ListBullet"/>
        <w:spacing w:after="40"/>
      </w:pPr>
      <w:r>
        <w:rPr>
          <w:rFonts w:ascii="Arial" w:hAnsi="Arial" w:cs="Arial"/>
          <w:b w:val="0"/>
          <w:i w:val="0"/>
          <w:sz w:val="20"/>
        </w:rPr>
        <w:t>Theft, attempted theft or malicious damage must also be reported to the Police (condition precedent).</w:t>
      </w:r>
    </w:p>
    <w:p>
      <w:pPr>
        <w:pStyle w:val="Heading1"/>
        <w:spacing w:before="280" w:after="80"/>
      </w:pPr>
      <w:r>
        <w:rPr>
          <w:rFonts w:ascii="Arial" w:hAnsi="Arial" w:cs="Arial"/>
          <w:b/>
          <w:i w:val="0"/>
          <w:color w:val="009CE5"/>
          <w:sz w:val="30"/>
        </w:rPr>
        <w:t>IMPORTANT BROKER / INSURED NOTES</w:t>
      </w:r>
    </w:p>
    <w:p>
      <w:pPr>
        <w:pStyle w:val="ListBullet"/>
        <w:spacing w:after="40"/>
      </w:pPr>
      <w:r>
        <w:rPr>
          <w:rFonts w:ascii="Arial" w:hAnsi="Arial" w:cs="Arial"/>
          <w:b w:val="0"/>
          <w:i w:val="0"/>
          <w:sz w:val="20"/>
        </w:rPr>
        <w:t>This summary must be read together with the policy wording, Schedule and any endorsements, which together set out the cover, limits, sub-limits, excesses and conditions that apply.</w:t>
      </w:r>
    </w:p>
    <w:p>
      <w:pPr>
        <w:pStyle w:val="ListBullet"/>
        <w:spacing w:after="40"/>
      </w:pPr>
      <w:r>
        <w:rPr>
          <w:rFonts w:ascii="Arial" w:hAnsi="Arial" w:cs="Arial"/>
          <w:b w:val="0"/>
          <w:i w:val="0"/>
          <w:sz w:val="20"/>
        </w:rPr>
        <w:t>Only the Sections shown as operative in the Schedule are in force.</w:t>
      </w:r>
    </w:p>
    <w:p>
      <w:pPr>
        <w:pStyle w:val="ListBullet"/>
        <w:spacing w:after="40"/>
      </w:pPr>
      <w:r>
        <w:rPr>
          <w:rFonts w:ascii="Arial" w:hAnsi="Arial" w:cs="Arial"/>
          <w:b w:val="0"/>
          <w:i w:val="0"/>
          <w:sz w:val="20"/>
        </w:rPr>
        <w:t>Several Sections are written on a claims-made basis – timely notification is essential and is a condition precedent in many cases.</w:t>
      </w:r>
    </w:p>
    <w:p>
      <w:pPr>
        <w:pStyle w:val="ListBullet"/>
        <w:spacing w:after="40"/>
      </w:pPr>
      <w:r>
        <w:rPr>
          <w:rFonts w:ascii="Arial" w:hAnsi="Arial" w:cs="Arial"/>
          <w:b w:val="0"/>
          <w:i w:val="0"/>
          <w:sz w:val="20"/>
        </w:rPr>
        <w:t>This summary reflects the FINAL wording. Section 12 (Media Liability) enhancements under consideration (e.g. a Schedule-selectable worldwide / USA-Canada option) are NOT yet part of cover and require legal/underwriting sign-off; the current Section 12 position (worldwide excluding USA/Canada unless the Schedule states otherwise) applies.</w:t>
      </w:r>
    </w:p>
    <w:p>
      <w:pPr>
        <w:pStyle w:val="ListBullet"/>
        <w:spacing w:after="40"/>
      </w:pPr>
      <w:r>
        <w:rPr>
          <w:rFonts w:ascii="Arial" w:hAnsi="Arial" w:cs="Arial"/>
          <w:b w:val="0"/>
          <w:i w:val="0"/>
          <w:sz w:val="20"/>
        </w:rPr>
        <w:t>Check sums insured and limits carefully – the policy is subject to Average (underinsurance).</w:t>
      </w:r>
    </w:p>
    <w:p>
      <w:pPr>
        <w:pStyle w:val="ListBullet"/>
        <w:spacing w:after="40"/>
      </w:pPr>
      <w:r>
        <w:rPr>
          <w:rFonts w:ascii="Arial" w:hAnsi="Arial" w:cs="Arial"/>
          <w:b w:val="0"/>
          <w:i w:val="0"/>
          <w:sz w:val="20"/>
        </w:rPr>
        <w:t>This is a non-consumer commercial contract and is not suitable for consumers.</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p xmlns:w="http://schemas.openxmlformats.org/wordprocessingml/2006/main">
    <w:pPr>
      <w:jc w:val="center"/>
      <w:spacing w:before="40" w:after="0"/>
    </w:pPr>
    <w:r>
      <w:rPr>
        <w:rFonts w:ascii="Arial" w:hAnsi="Arial" w:cs="Arial"/>
        <w:color w:val="595959"/>
        <w:sz w:val="14"/>
      </w:rPr>
      <w:fldChar w:fldCharType="begin"/>
    </w:r>
    <w:r>
      <w:rPr>
        <w:rFonts w:ascii="Arial" w:hAnsi="Arial" w:cs="Arial"/>
        <w:color w:val="595959"/>
        <w:sz w:val="14"/>
      </w:rPr>
      <w:instrText xml:space="preserve"> PAGE </w:instrText>
    </w:r>
    <w:r>
      <w:rPr>
        <w:rFonts w:ascii="Arial" w:hAnsi="Arial" w:cs="Arial"/>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