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page" w:horzAnchor="margin" w:tblpY="16308"/>
        <w:tblOverlap w:val="never"/>
        <w:tblW w:w="5000" w:type="pct"/>
        <w:tblLook w:val="04A0" w:firstRow="1" w:lastRow="0" w:firstColumn="1" w:lastColumn="0" w:noHBand="0" w:noVBand="1"/>
      </w:tblPr>
      <w:tblGrid>
        <w:gridCol w:w="10432"/>
      </w:tblGrid>
      <w:tr w:rsidR="00E00D16" w14:paraId="62C339FB" w14:textId="77777777" w:rsidTr="004F5E0E">
        <w:trPr>
          <w:cantSplit/>
        </w:trPr>
        <w:tc>
          <w:tcPr>
            <w:tcW w:w="5000" w:type="pct"/>
          </w:tcPr>
          <w:p w14:paraId="519BD83B" w14:textId="77777777" w:rsidR="00E00D16" w:rsidRDefault="00441EEC" w:rsidP="00E75E61">
            <w:pPr>
              <w:pStyle w:val="FooterDetails"/>
            </w:pPr>
            <w:r>
              <w:t>May 2026  |  Commercial Combined &amp; Media</w:t>
            </w:r>
          </w:p>
        </w:tc>
      </w:tr>
      <w:tr w:rsidR="00E75E61" w14:paraId="2F18E074" w14:textId="77777777" w:rsidTr="004F5E0E">
        <w:trPr>
          <w:cantSplit/>
        </w:trPr>
        <w:tc>
          <w:tcPr>
            <w:tcW w:w="5000" w:type="pct"/>
          </w:tcPr>
          <w:p w14:paraId="76943742" w14:textId="77777777" w:rsidR="00E75E61" w:rsidRDefault="00E75E61" w:rsidP="009C6189">
            <w:pPr>
              <w:pStyle w:val="FooterDetails"/>
            </w:pPr>
          </w:p>
        </w:tc>
      </w:tr>
    </w:tbl>
    <w:p w14:paraId="6867972F" w14:textId="77777777" w:rsidR="004F5E0E" w:rsidRDefault="00A22AEA" w:rsidP="00EE667D">
      <w:pPr>
        <w:pStyle w:val="Title"/>
      </w:pPr>
      <w:r>
        <w:t>Summary of Changes</w:t>
      </w:r>
    </w:p>
    <w:p w14:paraId="691FC621" w14:textId="77777777" w:rsidR="00E00D16" w:rsidRDefault="00E75E61" w:rsidP="00EE667D">
      <w:pPr>
        <w:pStyle w:val="Subtitle"/>
      </w:pPr>
      <w:r>
        <w:t>Commercial Combined &amp; Media Liability</w:t>
      </w:r>
    </w:p>
    <w:p w14:paraId="0300DAF3" w14:textId="77777777" w:rsidR="00A10C23" w:rsidRPr="00E75E61" w:rsidRDefault="00A10C23" w:rsidP="00EE667D">
      <w:pPr>
        <w:pStyle w:val="Subtitle"/>
      </w:pPr>
      <w:r>
        <w:t>Comparison of policy wording 0223C (previous) and 0526 (new)</w:t>
      </w:r>
    </w:p>
    <w:p w14:paraId="52DC5286" w14:textId="77777777" w:rsidR="00E75E61" w:rsidRPr="00E75E61" w:rsidRDefault="00E75E61" w:rsidP="00EE667D">
      <w:pPr>
        <w:pStyle w:val="Subtitle"/>
      </w:pPr>
      <w:r>
        <w:t>Prepared for broker and client use</w:t>
      </w:r>
    </w:p>
    <w:p w14:paraId="6956CC00" w14:textId="77777777" w:rsidR="00E00D16" w:rsidRPr="004F5E0E" w:rsidRDefault="00E00D16" w:rsidP="00E00D16">
      <w:pPr>
        <w:pStyle w:val="BodyText"/>
        <w:rPr>
          <w:lang w:val="fr-BE"/>
        </w:rPr>
        <w:sectPr w:rsidR="00E00D16" w:rsidRPr="004F5E0E" w:rsidSect="00CB5CDB">
          <w:headerReference w:type="default" r:id="rId8"/>
          <w:headerReference w:type="first" r:id="rId9"/>
          <w:pgSz w:w="11906" w:h="16838" w:code="9"/>
          <w:pgMar w:top="737" w:right="737" w:bottom="737" w:left="737" w:header="737" w:footer="352" w:gutter="0"/>
          <w:cols w:space="708"/>
          <w:titlePg/>
          <w:docGrid w:linePitch="360"/>
        </w:sectPr>
      </w:pPr>
    </w:p>
    <w:p w14:paraId="41DD0D5E" w14:textId="10E2CFE3" w:rsidR="00AE6738" w:rsidRDefault="005D6BD6">
      <w:pPr>
        <w:keepNext w:val="0"/>
        <w:keepLines w:val="0"/>
        <w:spacing w:line="276" w:lineRule="auto"/>
        <w:rPr>
          <w:rFonts w:asciiTheme="majorHAnsi" w:eastAsiaTheme="majorEastAsia" w:hAnsiTheme="majorHAnsi" w:cstheme="majorBidi"/>
          <w:bCs/>
          <w:color w:val="009CE5" w:themeColor="accent1"/>
          <w:sz w:val="44"/>
          <w:szCs w:val="28"/>
          <w:lang w:val="en-GB"/>
        </w:rPr>
      </w:pPr>
      <w:r>
        <w:rPr>
          <w:noProof/>
        </w:rPr>
        <w:drawing>
          <wp:inline distT="0" distB="0" distL="0" distR="0" wp14:anchorId="22FD1626" wp14:editId="0EE6F848">
            <wp:extent cx="6624320" cy="2668270"/>
            <wp:effectExtent l="0" t="0" r="5080" b="0"/>
            <wp:docPr id="680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4320" cy="2668270"/>
                    </a:xfrm>
                    <a:prstGeom prst="rect">
                      <a:avLst/>
                    </a:prstGeom>
                    <a:noFill/>
                    <a:ln>
                      <a:noFill/>
                    </a:ln>
                  </pic:spPr>
                </pic:pic>
              </a:graphicData>
            </a:graphic>
          </wp:inline>
        </w:drawing>
      </w:r>
      <w:r>
        <w:br w:type="page"/>
      </w:r>
    </w:p>
    <w:p>
      <w:pPr>
        <w:spacing w:after="40" w:before="0"/>
      </w:pPr>
      <w:r>
        <w:rPr>
          <w:rFonts w:ascii="Arial" w:hAnsi="Arial" w:cs="Arial"/>
          <w:b/>
          <w:i w:val="0"/>
          <w:color w:val="009CE5"/>
          <w:sz w:val="24"/>
        </w:rPr>
        <w:t>WORDING COMPARISON:  0223C  →  0526</w:t>
      </w:r>
    </w:p>
    <w:p>
      <w:pPr>
        <w:spacing w:after="120" w:before="0"/>
      </w:pPr>
      <w:r>
        <w:rPr>
          <w:rFonts w:ascii="Arial" w:hAnsi="Arial" w:cs="Arial"/>
          <w:b/>
          <w:i w:val="0"/>
          <w:color w:val="C79000"/>
          <w:sz w:val="22"/>
        </w:rPr>
        <w:t>SUMMARY OF CHANGES</w:t>
      </w:r>
    </w:p>
    <w:tbl>
      <w:tblPr>
        <w:tblW w:type="auto" w:w="0"/>
        <w:tblLayout w:type="fixed"/>
        <w:tblLook w:firstColumn="1" w:firstRow="1" w:lastColumn="0" w:lastRow="0" w:noHBand="0" w:noVBand="1" w:val="04A0"/>
        <w:tblW w:type="pct" w:w="5000"/>
      </w:tblPr>
      <w:tblGrid>
        <w:gridCol w:w="10432"/>
      </w:tblGrid>
      <w:tr>
        <w:tc>
          <w:tcPr>
            <w:tcW w:type="dxa" w:w="10432"/>
            <w:shd w:val="clear" w:color="auto" w:fill="EAF7FD"/>
            <w:tcBorders>
              <w:top w:val="single" w:sz="4" w:space="0" w:color="009CE5"/>
              <w:left w:val="single" w:sz="18" w:space="0" w:color="009CE5"/>
              <w:bottom w:val="single" w:sz="4" w:space="0" w:color="009CE5"/>
              <w:right w:val="single" w:sz="4" w:space="0" w:color="009CE5"/>
            </w:tcBorders>
          </w:tcPr>
          <w:p>
            <w:pPr>
              <w:spacing w:after="40" w:before="40"/>
            </w:pPr>
            <w:r/>
            <w:r>
              <w:rPr>
                <w:rFonts w:ascii="Arial" w:hAnsi="Arial" w:cs="Arial"/>
                <w:b/>
                <w:i w:val="0"/>
                <w:color w:val="212121"/>
                <w:sz w:val="20"/>
              </w:rPr>
              <w:t xml:space="preserve">Basis of this comparison.  </w:t>
            </w:r>
            <w:r>
              <w:rPr>
                <w:rFonts w:ascii="Arial" w:hAnsi="Arial" w:cs="Arial"/>
                <w:b w:val="0"/>
                <w:i w:val="0"/>
                <w:color w:val="212121"/>
                <w:sz w:val="20"/>
              </w:rPr>
              <w:t>This Summary of Changes compares the previous wording (TMHCC Media Combined 0223C) with the new wording (TMHCC Media Combined 0526). It is a high-level guide for brokers and clients and does not replace either policy wording, the Schedule or any endorsement. Where a change reduces, restricts or qualifies cover this is stated plainly. Limits, sub-limits and excesses are governed by the Schedule. Items marked for review require confirmation by underwriting/legal.</w:t>
            </w:r>
          </w:p>
        </w:tc>
      </w:tr>
    </w:tbl>
    <w:p>
      <w:pPr>
        <w:spacing w:after="80" w:before="0"/>
      </w:pPr>
    </w:p>
    <w:p>
      <w:pPr>
        <w:pStyle w:val="Heading2"/>
        <w:spacing w:before="160" w:after="60"/>
      </w:pPr>
      <w:r>
        <w:rPr>
          <w:rFonts w:ascii="Arial" w:hAnsi="Arial" w:cs="Arial"/>
          <w:b/>
          <w:i w:val="0"/>
          <w:color w:val="009CE5"/>
          <w:sz w:val="22"/>
        </w:rPr>
        <w:t>Status key</w:t>
      </w:r>
    </w:p>
    <w:tbl>
      <w:tblPr>
        <w:tblW w:type="auto" w:w="0"/>
        <w:tblLayout w:type="fixed"/>
        <w:tblLook w:firstColumn="1" w:firstRow="1" w:lastColumn="0" w:lastRow="0" w:noHBand="0" w:noVBand="1" w:val="04A0"/>
        <w:tblW w:type="pct" w:w="500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477"/>
        <w:gridCol w:w="3477"/>
        <w:gridCol w:w="3477"/>
      </w:tblGrid>
      <w:tr>
        <w:tc>
          <w:tcPr>
            <w:tcW w:type="dxa" w:w="3477"/>
            <w:shd w:val="clear" w:color="auto" w:fill="E2F3E8"/>
          </w:tcPr>
          <w:p>
            <w:pPr>
              <w:spacing w:after="20" w:before="20"/>
              <w:jc w:val="center"/>
            </w:pPr>
            <w:r/>
            <w:r>
              <w:rPr>
                <w:rFonts w:ascii="Arial" w:hAnsi="Arial" w:cs="Arial"/>
                <w:b/>
                <w:i w:val="0"/>
                <w:color w:val="1B5E20"/>
                <w:sz w:val="18"/>
              </w:rPr>
              <w:t>Green – broader / beneficial</w:t>
            </w:r>
          </w:p>
        </w:tc>
        <w:tc>
          <w:tcPr>
            <w:tcW w:type="dxa" w:w="3477"/>
            <w:shd w:val="clear" w:color="auto" w:fill="FBF1D6"/>
          </w:tcPr>
          <w:p>
            <w:pPr>
              <w:spacing w:after="20" w:before="20"/>
              <w:jc w:val="center"/>
            </w:pPr>
            <w:r/>
            <w:r>
              <w:rPr>
                <w:rFonts w:ascii="Arial" w:hAnsi="Arial" w:cs="Arial"/>
                <w:b/>
                <w:i w:val="0"/>
                <w:color w:val="7A5800"/>
                <w:sz w:val="18"/>
              </w:rPr>
              <w:t>Amber – clarification / operational</w:t>
            </w:r>
          </w:p>
        </w:tc>
        <w:tc>
          <w:tcPr>
            <w:tcW w:type="dxa" w:w="3477"/>
            <w:shd w:val="clear" w:color="auto" w:fill="FBE3E8"/>
          </w:tcPr>
          <w:p>
            <w:pPr>
              <w:spacing w:after="20" w:before="20"/>
              <w:jc w:val="center"/>
            </w:pPr>
            <w:r/>
            <w:r>
              <w:rPr>
                <w:rFonts w:ascii="Arial" w:hAnsi="Arial" w:cs="Arial"/>
                <w:b/>
                <w:i w:val="0"/>
                <w:color w:val="A4001F"/>
                <w:sz w:val="18"/>
              </w:rPr>
              <w:t>Red – restriction / reduced cover</w:t>
            </w:r>
          </w:p>
        </w:tc>
      </w:tr>
    </w:tbl>
    <w:p>
      <w:pPr>
        <w:spacing w:after="80" w:before="0"/>
      </w:pPr>
    </w:p>
    <w:p>
      <w:pPr>
        <w:pStyle w:val="Heading1"/>
        <w:spacing w:before="280" w:after="80"/>
      </w:pPr>
      <w:r>
        <w:rPr>
          <w:rFonts w:ascii="Arial" w:hAnsi="Arial" w:cs="Arial"/>
          <w:b/>
          <w:i w:val="0"/>
          <w:color w:val="009CE5"/>
          <w:sz w:val="30"/>
        </w:rPr>
        <w:t>EXECUTIVE SUMMARY</w:t>
      </w:r>
    </w:p>
    <w:p>
      <w:pPr>
        <w:spacing w:after="120" w:before="0"/>
      </w:pPr>
      <w:r>
        <w:rPr>
          <w:rFonts w:ascii="Arial" w:hAnsi="Arial" w:cs="Arial"/>
          <w:b w:val="0"/>
          <w:i w:val="0"/>
          <w:sz w:val="20"/>
        </w:rPr>
        <w:t>The 0526 wording is a substantial restructure and expansion of the 0223C wording. The policy grows from 13 to 15 operative Sections, with three significant new covers: Commercial Legal Expenses (Section 13, underwritten by ARAG), Management Liability (Section 14) and CyberGuard™ Cyber Liability (Section 15).</w:t>
      </w:r>
    </w:p>
    <w:p>
      <w:pPr>
        <w:spacing w:after="120" w:before="0"/>
      </w:pPr>
      <w:r>
        <w:rPr>
          <w:rFonts w:ascii="Arial" w:hAnsi="Arial" w:cs="Arial"/>
          <w:b w:val="0"/>
          <w:i w:val="0"/>
          <w:sz w:val="20"/>
        </w:rPr>
        <w:t>The property account has been restructured. The standalone Information Technology Section in 0223C has been removed and its cover (including computer equipment and Breakdown) consolidated into the Business “All Risks” Section (now “Premises Risk only”) and the renamed and expanded Property &amp; Equipment Section (formerly “Production Property”). Sections from the old Section 4 onward have been renumbered.</w:t>
      </w:r>
    </w:p>
    <w:p>
      <w:pPr>
        <w:spacing w:after="120" w:before="0"/>
      </w:pPr>
      <w:r>
        <w:rPr>
          <w:rFonts w:ascii="Arial" w:hAnsi="Arial" w:cs="Arial"/>
          <w:b w:val="0"/>
          <w:i w:val="0"/>
          <w:sz w:val="20"/>
        </w:rPr>
        <w:t>The General Policy Definitions, Conditions and Exclusions are largely carried across without material change. The most important wording change for claims handling is that notification of a claim is now expressed as a Condition Precedent to liability for Sections 1–11. The new specialist Sections each carry their own definitions, exclusions and claims conditions, which prevail for those Sections.</w:t>
      </w:r>
    </w:p>
    <w:p>
      <w:pPr>
        <w:pStyle w:val="Heading1"/>
        <w:spacing w:before="280" w:after="80"/>
      </w:pPr>
      <w:r>
        <w:rPr>
          <w:rFonts w:ascii="Arial" w:hAnsi="Arial" w:cs="Arial"/>
          <w:b/>
          <w:i w:val="0"/>
          <w:color w:val="009CE5"/>
          <w:sz w:val="30"/>
        </w:rPr>
        <w:t>HEADLINE CHANGES AT A GLANCE</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2300"/>
            <w:shd w:val="clear" w:color="auto" w:fill="009CE5"/>
          </w:tcPr>
          <w:p>
            <w:pPr>
              <w:spacing w:after="20" w:before="20"/>
            </w:pPr>
            <w:r/>
            <w:r>
              <w:rPr>
                <w:rFonts w:ascii="Arial" w:hAnsi="Arial" w:cs="Arial"/>
                <w:b/>
                <w:i w:val="0"/>
                <w:color w:val="FFFFFF"/>
                <w:sz w:val="18"/>
              </w:rPr>
              <w:t>Area</w:t>
            </w:r>
          </w:p>
        </w:tc>
        <w:tc>
          <w:tcPr>
            <w:tcW w:type="dxa" w:w="5500"/>
            <w:shd w:val="clear" w:color="auto" w:fill="009CE5"/>
          </w:tcPr>
          <w:p>
            <w:pPr>
              <w:spacing w:after="20" w:before="20"/>
            </w:pPr>
            <w:r/>
            <w:r>
              <w:rPr>
                <w:rFonts w:ascii="Arial" w:hAnsi="Arial" w:cs="Arial"/>
                <w:b/>
                <w:i w:val="0"/>
                <w:color w:val="FFFFFF"/>
                <w:sz w:val="18"/>
              </w:rPr>
              <w:t>What changed (0223C → 0526)</w:t>
            </w:r>
          </w:p>
        </w:tc>
        <w:tc>
          <w:tcPr>
            <w:tcW w:type="dxa" w:w="1900"/>
            <w:shd w:val="clear" w:color="auto" w:fill="009CE5"/>
          </w:tcPr>
          <w:p>
            <w:pPr>
              <w:spacing w:after="20" w:before="20"/>
              <w:jc w:val="center"/>
            </w:pPr>
            <w:r/>
            <w:r>
              <w:rPr>
                <w:rFonts w:ascii="Arial" w:hAnsi="Arial" w:cs="Arial"/>
                <w:b/>
                <w:i w:val="0"/>
                <w:color w:val="FFFFFF"/>
                <w:sz w:val="18"/>
              </w:rPr>
              <w:t>Status</w:t>
            </w:r>
          </w:p>
        </w:tc>
      </w:tr>
      <w:tr>
        <w:tc>
          <w:tcPr>
            <w:tcW w:type="dxa" w:w="2300"/>
          </w:tcPr>
          <w:p>
            <w:pPr>
              <w:spacing w:after="20" w:before="20"/>
            </w:pPr>
            <w:r/>
            <w:r>
              <w:rPr>
                <w:rFonts w:ascii="Arial" w:hAnsi="Arial" w:cs="Arial"/>
                <w:b w:val="0"/>
                <w:i w:val="0"/>
                <w:color w:val="212121"/>
                <w:sz w:val="18"/>
              </w:rPr>
              <w:t>Policy structure</w:t>
            </w:r>
          </w:p>
        </w:tc>
        <w:tc>
          <w:tcPr>
            <w:tcW w:type="dxa" w:w="5500"/>
          </w:tcPr>
          <w:p>
            <w:pPr>
              <w:spacing w:after="20" w:before="20"/>
            </w:pPr>
            <w:r/>
            <w:r>
              <w:rPr>
                <w:rFonts w:ascii="Arial" w:hAnsi="Arial" w:cs="Arial"/>
                <w:b w:val="0"/>
                <w:i w:val="0"/>
                <w:color w:val="212121"/>
                <w:sz w:val="18"/>
              </w:rPr>
              <w:t>Expanded from 13 to 15 operative Sections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2300"/>
          </w:tcPr>
          <w:p>
            <w:pPr>
              <w:spacing w:after="20" w:before="20"/>
            </w:pPr>
            <w:r/>
            <w:r>
              <w:rPr>
                <w:rFonts w:ascii="Arial" w:hAnsi="Arial" w:cs="Arial"/>
                <w:b w:val="0"/>
                <w:i w:val="0"/>
                <w:color w:val="212121"/>
                <w:sz w:val="18"/>
              </w:rPr>
              <w:t>Commercial Legal Expenses</w:t>
            </w:r>
          </w:p>
        </w:tc>
        <w:tc>
          <w:tcPr>
            <w:tcW w:type="dxa" w:w="5500"/>
          </w:tcPr>
          <w:p>
            <w:pPr>
              <w:spacing w:after="20" w:before="20"/>
            </w:pPr>
            <w:r/>
            <w:r>
              <w:rPr>
                <w:rFonts w:ascii="Arial" w:hAnsi="Arial" w:cs="Arial"/>
                <w:b w:val="0"/>
                <w:i w:val="0"/>
                <w:color w:val="212121"/>
                <w:sz w:val="18"/>
              </w:rPr>
              <w:t>New Section 13 (ARAG) – legal costs for insured events</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Management Liability</w:t>
            </w:r>
          </w:p>
        </w:tc>
        <w:tc>
          <w:tcPr>
            <w:tcW w:type="dxa" w:w="5500"/>
          </w:tcPr>
          <w:p>
            <w:pPr>
              <w:spacing w:after="20" w:before="20"/>
            </w:pPr>
            <w:r/>
            <w:r>
              <w:rPr>
                <w:rFonts w:ascii="Arial" w:hAnsi="Arial" w:cs="Arial"/>
                <w:b w:val="0"/>
                <w:i w:val="0"/>
                <w:color w:val="212121"/>
                <w:sz w:val="18"/>
              </w:rPr>
              <w:t>New Section 14 – D&amp;O / corporate / employment practice</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Cyber Liability</w:t>
            </w:r>
          </w:p>
        </w:tc>
        <w:tc>
          <w:tcPr>
            <w:tcW w:type="dxa" w:w="5500"/>
          </w:tcPr>
          <w:p>
            <w:pPr>
              <w:spacing w:after="20" w:before="20"/>
            </w:pPr>
            <w:r/>
            <w:r>
              <w:rPr>
                <w:rFonts w:ascii="Arial" w:hAnsi="Arial" w:cs="Arial"/>
                <w:b w:val="0"/>
                <w:i w:val="0"/>
                <w:color w:val="212121"/>
                <w:sz w:val="18"/>
              </w:rPr>
              <w:t>New Section 15 – CyberGuard™ first &amp; third-party cyber</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2300"/>
          </w:tcPr>
          <w:p>
            <w:pPr>
              <w:spacing w:after="20" w:before="20"/>
            </w:pPr>
            <w:r/>
            <w:r>
              <w:rPr>
                <w:rFonts w:ascii="Arial" w:hAnsi="Arial" w:cs="Arial"/>
                <w:b w:val="0"/>
                <w:i w:val="0"/>
                <w:color w:val="212121"/>
                <w:sz w:val="18"/>
              </w:rPr>
              <w:t>Information Technology</w:t>
            </w:r>
          </w:p>
        </w:tc>
        <w:tc>
          <w:tcPr>
            <w:tcW w:type="dxa" w:w="5500"/>
          </w:tcPr>
          <w:p>
            <w:pPr>
              <w:spacing w:after="20" w:before="20"/>
            </w:pPr>
            <w:r/>
            <w:r>
              <w:rPr>
                <w:rFonts w:ascii="Arial" w:hAnsi="Arial" w:cs="Arial"/>
                <w:b w:val="0"/>
                <w:i w:val="0"/>
                <w:color w:val="212121"/>
                <w:sz w:val="18"/>
              </w:rPr>
              <w:t>Standalone IT Section removed; IT &amp; Breakdown cover folded into Sections 1 &amp; 2</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Property restructure</w:t>
            </w:r>
          </w:p>
        </w:tc>
        <w:tc>
          <w:tcPr>
            <w:tcW w:type="dxa" w:w="5500"/>
          </w:tcPr>
          <w:p>
            <w:pPr>
              <w:spacing w:after="20" w:before="20"/>
            </w:pPr>
            <w:r/>
            <w:r>
              <w:rPr>
                <w:rFonts w:ascii="Arial" w:hAnsi="Arial" w:cs="Arial"/>
                <w:b w:val="0"/>
                <w:i w:val="0"/>
                <w:color w:val="212121"/>
                <w:sz w:val="18"/>
              </w:rPr>
              <w:t>Section 2 renamed Production Property → Property &amp; Equipment; Section 1 now “Premises Risk only”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2300"/>
          </w:tcPr>
          <w:p>
            <w:pPr>
              <w:spacing w:after="20" w:before="20"/>
            </w:pPr>
            <w:r/>
            <w:r>
              <w:rPr>
                <w:rFonts w:ascii="Arial" w:hAnsi="Arial" w:cs="Arial"/>
                <w:b w:val="0"/>
                <w:i w:val="0"/>
                <w:color w:val="212121"/>
                <w:sz w:val="18"/>
              </w:rPr>
              <w:t>Section numbering</w:t>
            </w:r>
          </w:p>
        </w:tc>
        <w:tc>
          <w:tcPr>
            <w:tcW w:type="dxa" w:w="5500"/>
          </w:tcPr>
          <w:p>
            <w:pPr>
              <w:spacing w:after="20" w:before="20"/>
            </w:pPr>
            <w:r/>
            <w:r>
              <w:rPr>
                <w:rFonts w:ascii="Arial" w:hAnsi="Arial" w:cs="Arial"/>
                <w:b w:val="0"/>
                <w:i w:val="0"/>
                <w:color w:val="212121"/>
                <w:sz w:val="18"/>
              </w:rPr>
              <w:t>Sections renumbered from old Section 4 onward</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Claim notification</w:t>
            </w:r>
          </w:p>
        </w:tc>
        <w:tc>
          <w:tcPr>
            <w:tcW w:type="dxa" w:w="5500"/>
          </w:tcPr>
          <w:p>
            <w:pPr>
              <w:spacing w:after="20" w:before="20"/>
            </w:pPr>
            <w:r/>
            <w:r>
              <w:rPr>
                <w:rFonts w:ascii="Arial" w:hAnsi="Arial" w:cs="Arial"/>
                <w:b w:val="0"/>
                <w:i w:val="0"/>
                <w:color w:val="212121"/>
                <w:sz w:val="18"/>
              </w:rPr>
              <w:t>Now an express Condition Precedent to liability (Sections 1–11)</w:t>
            </w:r>
          </w:p>
        </w:tc>
        <w:tc>
          <w:tcPr>
            <w:tcW w:type="dxa" w:w="1900"/>
            <w:shd w:val="clear" w:color="auto" w:fill="FBE3E8"/>
          </w:tcPr>
          <w:p>
            <w:pPr>
              <w:spacing w:after="20" w:before="20"/>
              <w:jc w:val="center"/>
            </w:pPr>
            <w:r/>
            <w:r>
              <w:rPr>
                <w:rFonts w:ascii="Arial" w:hAnsi="Arial" w:cs="Arial"/>
                <w:b/>
                <w:i w:val="0"/>
                <w:color w:val="A4001F"/>
                <w:sz w:val="18"/>
              </w:rPr>
              <w:t>Restrictive</w:t>
            </w:r>
          </w:p>
        </w:tc>
      </w:tr>
      <w:tr>
        <w:tc>
          <w:tcPr>
            <w:tcW w:type="dxa" w:w="2300"/>
          </w:tcPr>
          <w:p>
            <w:pPr>
              <w:spacing w:after="20" w:before="20"/>
            </w:pPr>
            <w:r/>
            <w:r>
              <w:rPr>
                <w:rFonts w:ascii="Arial" w:hAnsi="Arial" w:cs="Arial"/>
                <w:b w:val="0"/>
                <w:i w:val="0"/>
                <w:color w:val="212121"/>
                <w:sz w:val="18"/>
              </w:rPr>
              <w:t>Intruder alarm condition</w:t>
            </w:r>
          </w:p>
        </w:tc>
        <w:tc>
          <w:tcPr>
            <w:tcW w:type="dxa" w:w="5500"/>
          </w:tcPr>
          <w:p>
            <w:pPr>
              <w:spacing w:after="20" w:before="20"/>
            </w:pPr>
            <w:r/>
            <w:r>
              <w:rPr>
                <w:rFonts w:ascii="Arial" w:hAnsi="Arial" w:cs="Arial"/>
                <w:b w:val="0"/>
                <w:i w:val="0"/>
                <w:color w:val="212121"/>
                <w:sz w:val="18"/>
              </w:rPr>
              <w:t>Maintenance condition now excludes “bells only” alarms</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2300"/>
          </w:tcPr>
          <w:p>
            <w:pPr>
              <w:spacing w:after="20" w:before="20"/>
            </w:pPr>
            <w:r/>
            <w:r>
              <w:rPr>
                <w:rFonts w:ascii="Arial" w:hAnsi="Arial" w:cs="Arial"/>
                <w:b w:val="0"/>
                <w:i w:val="0"/>
                <w:color w:val="212121"/>
                <w:sz w:val="18"/>
              </w:rPr>
              <w:t>General exclusions</w:t>
            </w:r>
          </w:p>
        </w:tc>
        <w:tc>
          <w:tcPr>
            <w:tcW w:type="dxa" w:w="5500"/>
          </w:tcPr>
          <w:p>
            <w:pPr>
              <w:spacing w:after="20" w:before="20"/>
            </w:pPr>
            <w:r/>
            <w:r>
              <w:rPr>
                <w:rFonts w:ascii="Arial" w:hAnsi="Arial" w:cs="Arial"/>
                <w:b w:val="0"/>
                <w:i w:val="0"/>
                <w:color w:val="212121"/>
                <w:sz w:val="18"/>
              </w:rPr>
              <w:t>Substantively unchanged; now apply to Sections 1–11 (was 1–12)</w:t>
            </w:r>
          </w:p>
        </w:tc>
        <w:tc>
          <w:tcPr>
            <w:tcW w:type="dxa" w:w="1900"/>
            <w:shd w:val="clear" w:color="auto" w:fill="FBF1D6"/>
          </w:tcPr>
          <w:p>
            <w:pPr>
              <w:spacing w:after="20" w:before="20"/>
              <w:jc w:val="center"/>
            </w:pPr>
            <w:r/>
            <w:r>
              <w:rPr>
                <w:rFonts w:ascii="Arial" w:hAnsi="Arial" w:cs="Arial"/>
                <w:b/>
                <w:i w:val="0"/>
                <w:color w:val="7A5800"/>
                <w:sz w:val="18"/>
              </w:rPr>
              <w:t>Neutral</w:t>
            </w:r>
          </w:p>
        </w:tc>
      </w:tr>
    </w:tbl>
    <w:p>
      <w:pPr>
        <w:spacing w:after="80" w:before="0"/>
      </w:pPr>
    </w:p>
    <w:p>
      <w:pPr>
        <w:pStyle w:val="Heading1"/>
        <w:spacing w:before="280" w:after="80"/>
      </w:pPr>
      <w:r>
        <w:rPr>
          <w:rFonts w:ascii="Arial" w:hAnsi="Arial" w:cs="Arial"/>
          <w:b/>
          <w:i w:val="0"/>
          <w:color w:val="009CE5"/>
          <w:sz w:val="30"/>
        </w:rPr>
        <w:t>COVER ENHANCEMENTS (BROADER / BENEFICIAL)</w:t>
      </w:r>
    </w:p>
    <w:p>
      <w:pPr>
        <w:pStyle w:val="ListBullet"/>
        <w:spacing w:after="40"/>
      </w:pPr>
      <w:r>
        <w:rPr>
          <w:rFonts w:ascii="Arial" w:hAnsi="Arial" w:cs="Arial"/>
          <w:b w:val="0"/>
          <w:i w:val="0"/>
          <w:color w:val="1B5E20"/>
          <w:sz w:val="20"/>
        </w:rPr>
        <w:t>Three new insuring Sections – Commercial Legal Expenses, Management Liability and CyberGuard™ Cyber Liability – materially broaden the package where selected in the Schedule.</w:t>
      </w:r>
    </w:p>
    <w:p>
      <w:pPr>
        <w:pStyle w:val="ListBullet"/>
        <w:spacing w:after="40"/>
      </w:pPr>
      <w:r>
        <w:rPr>
          <w:rFonts w:ascii="Arial" w:hAnsi="Arial" w:cs="Arial"/>
          <w:b w:val="0"/>
          <w:i w:val="0"/>
          <w:color w:val="1B5E20"/>
          <w:sz w:val="20"/>
        </w:rPr>
        <w:t>Section 2 (Property &amp; Equipment) has a clearer, expanded scope, with an explicit worldwide Geographical Limit and a dedicated Artists’ Technical Equipment extension (GBP 20,000).</w:t>
      </w:r>
    </w:p>
    <w:p>
      <w:pPr>
        <w:pStyle w:val="ListBullet"/>
        <w:spacing w:after="40"/>
      </w:pPr>
      <w:r>
        <w:rPr>
          <w:rFonts w:ascii="Arial" w:hAnsi="Arial" w:cs="Arial"/>
          <w:b w:val="0"/>
          <w:i w:val="0"/>
          <w:color w:val="1B5E20"/>
          <w:sz w:val="20"/>
        </w:rPr>
        <w:t>Computer / IT equipment and Breakdown cover is retained and integrated into Section 1, which now expressly lists the IT extensions (Accidental Discharge, Additional Rental Charge, Expediting Costs, Incompatibility and Involuntary Betterment).</w:t>
      </w:r>
    </w:p>
    <w:p>
      <w:pPr>
        <w:pStyle w:val="ListBullet"/>
        <w:spacing w:after="40"/>
      </w:pPr>
      <w:r>
        <w:rPr>
          <w:rFonts w:ascii="Arial" w:hAnsi="Arial" w:cs="Arial"/>
          <w:b w:val="0"/>
          <w:i w:val="0"/>
          <w:color w:val="1B5E20"/>
          <w:sz w:val="20"/>
        </w:rPr>
        <w:t>The Security Devices maintenance condition no longer applies to “bells only” intruder alarms, a small easing of the protection requirement.</w:t>
      </w:r>
    </w:p>
    <w:p>
      <w:pPr>
        <w:spacing w:after="120" w:before="40"/>
      </w:pPr>
      <w:r>
        <w:rPr>
          <w:rFonts w:ascii="Arial" w:hAnsi="Arial" w:cs="Arial"/>
          <w:b w:val="0"/>
          <w:i/>
          <w:color w:val="595959"/>
          <w:sz w:val="18"/>
        </w:rPr>
        <w:t>Enhancements are subject to the Schedule, the relevant limits and each Section’s own terms.</w:t>
      </w:r>
    </w:p>
    <w:p>
      <w:pPr>
        <w:pStyle w:val="Heading1"/>
        <w:spacing w:before="280" w:after="80"/>
      </w:pPr>
      <w:r>
        <w:rPr>
          <w:rFonts w:ascii="Arial" w:hAnsi="Arial" w:cs="Arial"/>
          <w:b/>
          <w:i w:val="0"/>
          <w:color w:val="009CE5"/>
          <w:sz w:val="30"/>
        </w:rPr>
        <w:t>COVER RESTRICTIONS / REDUCTIONS AND ITEMS TO CHECK</w:t>
      </w:r>
    </w:p>
    <w:p>
      <w:pPr>
        <w:pStyle w:val="ListBullet"/>
        <w:spacing w:after="40"/>
      </w:pPr>
      <w:r>
        <w:rPr>
          <w:rFonts w:ascii="Arial" w:hAnsi="Arial" w:cs="Arial"/>
          <w:b w:val="0"/>
          <w:i w:val="0"/>
          <w:color w:val="A4001F"/>
          <w:sz w:val="20"/>
        </w:rPr>
        <w:t>Claim notification (Sections 1–11) is now an express Condition Precedent to liability – late notification could entitle insurers to decline a claim. This is the single most important change for the insured to understand.</w:t>
      </w:r>
    </w:p>
    <w:p>
      <w:pPr>
        <w:pStyle w:val="ListBullet"/>
        <w:spacing w:after="40"/>
      </w:pPr>
      <w:r>
        <w:rPr>
          <w:rFonts w:ascii="Arial" w:hAnsi="Arial" w:cs="Arial"/>
          <w:b w:val="0"/>
          <w:i w:val="0"/>
          <w:color w:val="7A5800"/>
          <w:sz w:val="20"/>
        </w:rPr>
        <w:t>The standalone Information Technology Section has been removed. Its cover appears to be reproduced within Sections 1 and 2, but the discrete IT structure (and any IT-specific “Data Storage” condition precedent) should be checked to confirm there is no gap in breakdown cover or IT extensions.</w:t>
      </w:r>
    </w:p>
    <w:p>
      <w:pPr>
        <w:pStyle w:val="ListBullet"/>
        <w:spacing w:after="40"/>
      </w:pPr>
      <w:r>
        <w:rPr>
          <w:rFonts w:ascii="Arial" w:hAnsi="Arial" w:cs="Arial"/>
          <w:b w:val="0"/>
          <w:i w:val="0"/>
          <w:color w:val="7A5800"/>
          <w:sz w:val="20"/>
        </w:rPr>
        <w:t>The new specialist Sections (13, 14, 15) each carry their own, sometimes broader, exclusions and conditions which prevail over the General Policy terms for those Sections.</w:t>
      </w:r>
    </w:p>
    <w:p>
      <w:pPr>
        <w:pStyle w:val="ListBullet"/>
        <w:spacing w:after="40"/>
      </w:pPr>
      <w:r>
        <w:rPr>
          <w:rFonts w:ascii="Arial" w:hAnsi="Arial" w:cs="Arial"/>
          <w:b w:val="0"/>
          <w:i w:val="0"/>
          <w:color w:val="7A5800"/>
          <w:sz w:val="20"/>
        </w:rPr>
        <w:t>Carried-over conditions and exclusions previously referenced the now-removed “Information Technology Section”; these have been corrected in the final amended wording so the cover applies via the Business “All Risks” Section, which now contains the IT Property cover (see Reviewer Notes).</w:t>
      </w:r>
    </w:p>
    <w:p>
      <w:pPr>
        <w:pStyle w:val="Heading1"/>
        <w:spacing w:before="280" w:after="80"/>
      </w:pPr>
      <w:r>
        <w:rPr>
          <w:rFonts w:ascii="Arial" w:hAnsi="Arial" w:cs="Arial"/>
          <w:b/>
          <w:i w:val="0"/>
          <w:color w:val="009CE5"/>
          <w:sz w:val="30"/>
        </w:rPr>
        <w:t>EXCLUSIONS DEEP DIVE</w:t>
      </w:r>
    </w:p>
    <w:p>
      <w:pPr>
        <w:spacing w:after="120" w:before="0"/>
      </w:pPr>
      <w:r>
        <w:rPr>
          <w:rFonts w:ascii="Arial" w:hAnsi="Arial" w:cs="Arial"/>
          <w:b w:val="0"/>
          <w:i/>
          <w:color w:val="595959"/>
          <w:sz w:val="18"/>
        </w:rPr>
        <w:t>Each key exclusion in the new wording is assessed below against the previous wording.</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2608"/>
        <w:gridCol w:w="2608"/>
        <w:gridCol w:w="2608"/>
        <w:gridCol w:w="2608"/>
      </w:tblGrid>
      <w:tr>
        <w:tc>
          <w:tcPr>
            <w:tcW w:type="dxa" w:w="2600"/>
            <w:shd w:val="clear" w:color="auto" w:fill="009CE5"/>
          </w:tcPr>
          <w:p>
            <w:pPr>
              <w:spacing w:after="20" w:before="20"/>
            </w:pPr>
            <w:r/>
            <w:r>
              <w:rPr>
                <w:rFonts w:ascii="Arial" w:hAnsi="Arial" w:cs="Arial"/>
                <w:b/>
                <w:i w:val="0"/>
                <w:color w:val="FFFFFF"/>
                <w:sz w:val="18"/>
              </w:rPr>
              <w:t>Exclusion</w:t>
            </w:r>
          </w:p>
        </w:tc>
        <w:tc>
          <w:tcPr>
            <w:tcW w:type="dxa" w:w="2200"/>
            <w:shd w:val="clear" w:color="auto" w:fill="009CE5"/>
          </w:tcPr>
          <w:p>
            <w:pPr>
              <w:spacing w:after="20" w:before="20"/>
            </w:pPr>
            <w:r/>
            <w:r>
              <w:rPr>
                <w:rFonts w:ascii="Arial" w:hAnsi="Arial" w:cs="Arial"/>
                <w:b/>
                <w:i w:val="0"/>
                <w:color w:val="FFFFFF"/>
                <w:sz w:val="18"/>
              </w:rPr>
              <w:t>Status vs 0223C</w:t>
            </w:r>
          </w:p>
        </w:tc>
        <w:tc>
          <w:tcPr>
            <w:tcW w:type="dxa" w:w="3700"/>
            <w:shd w:val="clear" w:color="auto" w:fill="009CE5"/>
          </w:tcPr>
          <w:p>
            <w:pPr>
              <w:spacing w:after="20" w:before="20"/>
            </w:pPr>
            <w:r/>
            <w:r>
              <w:rPr>
                <w:rFonts w:ascii="Arial" w:hAnsi="Arial" w:cs="Arial"/>
                <w:b/>
                <w:i w:val="0"/>
                <w:color w:val="FFFFFF"/>
                <w:sz w:val="18"/>
              </w:rPr>
              <w:t>Practical impact for the insured</w:t>
            </w:r>
          </w:p>
        </w:tc>
        <w:tc>
          <w:tcPr>
            <w:tcW w:type="dxa" w:w="1200"/>
            <w:shd w:val="clear" w:color="auto" w:fill="009CE5"/>
          </w:tcPr>
          <w:p>
            <w:pPr>
              <w:spacing w:after="20" w:before="20"/>
            </w:pPr>
            <w:r/>
            <w:r>
              <w:rPr>
                <w:rFonts w:ascii="Arial" w:hAnsi="Arial" w:cs="Arial"/>
                <w:b/>
                <w:i w:val="0"/>
                <w:color w:val="FFFFFF"/>
                <w:sz w:val="18"/>
              </w:rPr>
              <w:t>Severity</w:t>
            </w:r>
          </w:p>
        </w:tc>
      </w:tr>
      <w:tr>
        <w:tc>
          <w:tcPr>
            <w:tcW w:type="dxa" w:w="2600"/>
          </w:tcPr>
          <w:p>
            <w:pPr>
              <w:spacing w:after="20" w:before="20"/>
            </w:pPr>
            <w:r/>
            <w:r>
              <w:rPr>
                <w:rFonts w:ascii="Arial" w:hAnsi="Arial" w:cs="Arial"/>
                <w:b w:val="0"/>
                <w:i w:val="0"/>
                <w:color w:val="212121"/>
                <w:sz w:val="18"/>
              </w:rPr>
              <w:t>Communicable Disease</w:t>
            </w:r>
          </w:p>
        </w:tc>
        <w:tc>
          <w:tcPr>
            <w:tcW w:type="dxa" w:w="2200"/>
          </w:tcPr>
          <w:p>
            <w:pPr>
              <w:spacing w:after="20" w:before="20"/>
            </w:pPr>
            <w:r/>
            <w:r>
              <w:rPr>
                <w:rFonts w:ascii="Arial" w:hAnsi="Arial" w:cs="Arial"/>
                <w:b w:val="0"/>
                <w:i w:val="0"/>
                <w:color w:val="212121"/>
                <w:sz w:val="18"/>
              </w:rPr>
              <w:t>Unchanged (renumbered)</w:t>
            </w:r>
          </w:p>
        </w:tc>
        <w:tc>
          <w:tcPr>
            <w:tcW w:type="dxa" w:w="3700"/>
          </w:tcPr>
          <w:p>
            <w:pPr>
              <w:spacing w:after="20" w:before="20"/>
            </w:pPr>
            <w:r/>
            <w:r>
              <w:rPr>
                <w:rFonts w:ascii="Arial" w:hAnsi="Arial" w:cs="Arial"/>
                <w:b w:val="0"/>
                <w:i w:val="0"/>
                <w:color w:val="212121"/>
                <w:sz w:val="18"/>
              </w:rPr>
              <w:t>Disease-related loss excluded across property/BI; no change in effect</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Coronavirus / Covid-19</w:t>
            </w:r>
          </w:p>
        </w:tc>
        <w:tc>
          <w:tcPr>
            <w:tcW w:type="dxa" w:w="2200"/>
          </w:tcPr>
          <w:p>
            <w:pPr>
              <w:spacing w:after="20" w:before="20"/>
            </w:pPr>
            <w:r/>
            <w:r>
              <w:rPr>
                <w:rFonts w:ascii="Arial" w:hAnsi="Arial" w:cs="Arial"/>
                <w:b w:val="0"/>
                <w:i w:val="0"/>
                <w:color w:val="212121"/>
                <w:sz w:val="18"/>
              </w:rPr>
              <w:t>Unchanged (sections renumbered 7&amp;8 → 6&amp;7)</w:t>
            </w:r>
          </w:p>
        </w:tc>
        <w:tc>
          <w:tcPr>
            <w:tcW w:type="dxa" w:w="3700"/>
          </w:tcPr>
          <w:p>
            <w:pPr>
              <w:spacing w:after="20" w:before="20"/>
            </w:pPr>
            <w:r/>
            <w:r>
              <w:rPr>
                <w:rFonts w:ascii="Arial" w:hAnsi="Arial" w:cs="Arial"/>
                <w:b w:val="0"/>
                <w:i w:val="0"/>
                <w:color w:val="212121"/>
                <w:sz w:val="18"/>
              </w:rPr>
              <w:t>Covid-related liability excluded on PL/Products where shown</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Property Cyber and Data Endorsement</w:t>
            </w:r>
          </w:p>
        </w:tc>
        <w:tc>
          <w:tcPr>
            <w:tcW w:type="dxa" w:w="2200"/>
          </w:tcPr>
          <w:p>
            <w:pPr>
              <w:spacing w:after="20" w:before="20"/>
            </w:pPr>
            <w:r/>
            <w:r>
              <w:rPr>
                <w:rFonts w:ascii="Arial" w:hAnsi="Arial" w:cs="Arial"/>
                <w:b w:val="0"/>
                <w:i w:val="0"/>
                <w:color w:val="212121"/>
                <w:sz w:val="18"/>
              </w:rPr>
              <w:t>Unchanged wording</w:t>
            </w:r>
          </w:p>
        </w:tc>
        <w:tc>
          <w:tcPr>
            <w:tcW w:type="dxa" w:w="3700"/>
          </w:tcPr>
          <w:p>
            <w:pPr>
              <w:spacing w:after="20" w:before="20"/>
            </w:pPr>
            <w:r/>
            <w:r>
              <w:rPr>
                <w:rFonts w:ascii="Arial" w:hAnsi="Arial" w:cs="Arial"/>
                <w:b w:val="0"/>
                <w:i w:val="0"/>
                <w:color w:val="212121"/>
                <w:sz w:val="18"/>
              </w:rPr>
              <w:t>Cyber loss and loss of data excluded from the property Sections; limited fire/explosion and data-media write-backs retained</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Terrorism (non-Terrorism Sections)</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Property/BI terrorism excluded unless the Terrorism Section is operative</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War &amp; Kindred Risks</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War and related perils excluded</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Nuclear / Pollution / Northern Ireland / Sonic Bang</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No change in effect (Pollution retains GBP 500,000 Production Property write-back)</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Date Recognition / Fines &amp; Penalties / Excess / Contribution</w:t>
            </w:r>
          </w:p>
        </w:tc>
        <w:tc>
          <w:tcPr>
            <w:tcW w:type="dxa" w:w="2200"/>
          </w:tcPr>
          <w:p>
            <w:pPr>
              <w:spacing w:after="20" w:before="20"/>
            </w:pPr>
            <w:r/>
            <w:r>
              <w:rPr>
                <w:rFonts w:ascii="Arial" w:hAnsi="Arial" w:cs="Arial"/>
                <w:b w:val="0"/>
                <w:i w:val="0"/>
                <w:color w:val="212121"/>
                <w:sz w:val="18"/>
              </w:rPr>
              <w:t>Unchanged</w:t>
            </w:r>
          </w:p>
        </w:tc>
        <w:tc>
          <w:tcPr>
            <w:tcW w:type="dxa" w:w="3700"/>
          </w:tcPr>
          <w:p>
            <w:pPr>
              <w:spacing w:after="20" w:before="20"/>
            </w:pPr>
            <w:r/>
            <w:r>
              <w:rPr>
                <w:rFonts w:ascii="Arial" w:hAnsi="Arial" w:cs="Arial"/>
                <w:b w:val="0"/>
                <w:i w:val="0"/>
                <w:color w:val="212121"/>
                <w:sz w:val="18"/>
              </w:rPr>
              <w:t>No change in effect</w:t>
            </w:r>
          </w:p>
        </w:tc>
        <w:tc>
          <w:tcPr>
            <w:tcW w:type="dxa" w:w="1200"/>
          </w:tcPr>
          <w:p>
            <w:pPr>
              <w:spacing w:after="20" w:before="20"/>
            </w:pPr>
            <w:r/>
            <w:r>
              <w:rPr>
                <w:rFonts w:ascii="Arial" w:hAnsi="Arial" w:cs="Arial"/>
                <w:b w:val="0"/>
                <w:i w:val="0"/>
                <w:color w:val="212121"/>
                <w:sz w:val="18"/>
              </w:rPr>
              <w:t>Low</w:t>
            </w:r>
          </w:p>
        </w:tc>
      </w:tr>
      <w:tr>
        <w:tc>
          <w:tcPr>
            <w:tcW w:type="dxa" w:w="2600"/>
          </w:tcPr>
          <w:p>
            <w:pPr>
              <w:spacing w:after="20" w:before="20"/>
            </w:pPr>
            <w:r/>
            <w:r>
              <w:rPr>
                <w:rFonts w:ascii="Arial" w:hAnsi="Arial" w:cs="Arial"/>
                <w:b w:val="0"/>
                <w:i w:val="0"/>
                <w:color w:val="212121"/>
                <w:sz w:val="18"/>
              </w:rPr>
              <w:t>Section 14 (Management Liability)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Conduct, insured-v-insured, bodily injury/property damage, pollution and Loss carve-outs apply to the new D&amp;O cover</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Section 15 (Cyber)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War and failure of core infrastructure, prior known incidents and betterment excluded under the new cyber cover</w:t>
            </w:r>
          </w:p>
        </w:tc>
        <w:tc>
          <w:tcPr>
            <w:tcW w:type="dxa" w:w="1200"/>
          </w:tcPr>
          <w:p>
            <w:pPr>
              <w:spacing w:after="20" w:before="20"/>
            </w:pPr>
            <w:r/>
            <w:r>
              <w:rPr>
                <w:rFonts w:ascii="Arial" w:hAnsi="Arial" w:cs="Arial"/>
                <w:b w:val="0"/>
                <w:i w:val="0"/>
                <w:color w:val="212121"/>
                <w:sz w:val="18"/>
              </w:rPr>
              <w:t>Medium</w:t>
            </w:r>
          </w:p>
        </w:tc>
      </w:tr>
      <w:tr>
        <w:tc>
          <w:tcPr>
            <w:tcW w:type="dxa" w:w="2600"/>
          </w:tcPr>
          <w:p>
            <w:pPr>
              <w:spacing w:after="20" w:before="20"/>
            </w:pPr>
            <w:r/>
            <w:r>
              <w:rPr>
                <w:rFonts w:ascii="Arial" w:hAnsi="Arial" w:cs="Arial"/>
                <w:b w:val="0"/>
                <w:i w:val="0"/>
                <w:color w:val="212121"/>
                <w:sz w:val="18"/>
              </w:rPr>
              <w:t>Section 13 (Legal Expenses) exclusions</w:t>
            </w:r>
          </w:p>
        </w:tc>
        <w:tc>
          <w:tcPr>
            <w:tcW w:type="dxa" w:w="2200"/>
          </w:tcPr>
          <w:p>
            <w:pPr>
              <w:spacing w:after="20" w:before="20"/>
            </w:pPr>
            <w:r/>
            <w:r>
              <w:rPr>
                <w:rFonts w:ascii="Arial" w:hAnsi="Arial" w:cs="Arial"/>
                <w:b w:val="0"/>
                <w:i w:val="0"/>
                <w:color w:val="212121"/>
                <w:sz w:val="18"/>
              </w:rPr>
              <w:t>New</w:t>
            </w:r>
          </w:p>
        </w:tc>
        <w:tc>
          <w:tcPr>
            <w:tcW w:type="dxa" w:w="3700"/>
          </w:tcPr>
          <w:p>
            <w:pPr>
              <w:spacing w:after="20" w:before="20"/>
            </w:pPr>
            <w:r/>
            <w:r>
              <w:rPr>
                <w:rFonts w:ascii="Arial" w:hAnsi="Arial" w:cs="Arial"/>
                <w:b w:val="0"/>
                <w:i w:val="0"/>
                <w:color w:val="212121"/>
                <w:sz w:val="18"/>
              </w:rPr>
              <w:t>No reasonable prospects, pre-inception matters, dishonesty and unconsented costs excluded</w:t>
            </w:r>
          </w:p>
        </w:tc>
        <w:tc>
          <w:tcPr>
            <w:tcW w:type="dxa" w:w="1200"/>
          </w:tcPr>
          <w:p>
            <w:pPr>
              <w:spacing w:after="20" w:before="20"/>
            </w:pPr>
            <w:r/>
            <w:r>
              <w:rPr>
                <w:rFonts w:ascii="Arial" w:hAnsi="Arial" w:cs="Arial"/>
                <w:b w:val="0"/>
                <w:i w:val="0"/>
                <w:color w:val="212121"/>
                <w:sz w:val="18"/>
              </w:rPr>
              <w:t>Medium</w:t>
            </w:r>
          </w:p>
        </w:tc>
      </w:tr>
    </w:tbl>
    <w:p>
      <w:pPr>
        <w:spacing w:after="80" w:before="0"/>
      </w:pPr>
    </w:p>
    <w:p>
      <w:pPr>
        <w:spacing w:after="120" w:before="0"/>
      </w:pPr>
      <w:r>
        <w:rPr>
          <w:rFonts w:ascii="Arial" w:hAnsi="Arial" w:cs="Arial"/>
          <w:b w:val="0"/>
          <w:i/>
          <w:color w:val="595959"/>
          <w:sz w:val="18"/>
        </w:rPr>
        <w:t>Conclusion: the General Policy exclusions are substantively unchanged between 0223C and 0526. The additional exclusion content in the new wording accompanies the three new Sections and should be explained to clients when those Sections are selected.</w:t>
      </w:r>
    </w:p>
    <w:p>
      <w:pPr>
        <w:pStyle w:val="Heading1"/>
        <w:spacing w:before="280" w:after="80"/>
      </w:pPr>
      <w:r>
        <w:rPr>
          <w:rFonts w:ascii="Arial" w:hAnsi="Arial" w:cs="Arial"/>
          <w:b/>
          <w:i w:val="0"/>
          <w:color w:val="009CE5"/>
          <w:sz w:val="30"/>
        </w:rPr>
        <w:t>CONDITIONS, WARRANTIES AND CLAIMS CHANGES</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2608"/>
        <w:gridCol w:w="2608"/>
        <w:gridCol w:w="2608"/>
        <w:gridCol w:w="2608"/>
      </w:tblGrid>
      <w:tr>
        <w:tc>
          <w:tcPr>
            <w:tcW w:type="dxa" w:w="2600"/>
            <w:shd w:val="clear" w:color="auto" w:fill="009CE5"/>
          </w:tcPr>
          <w:p>
            <w:pPr>
              <w:spacing w:after="20" w:before="20"/>
            </w:pPr>
            <w:r/>
            <w:r>
              <w:rPr>
                <w:rFonts w:ascii="Arial" w:hAnsi="Arial" w:cs="Arial"/>
                <w:b/>
                <w:i w:val="0"/>
                <w:color w:val="FFFFFF"/>
                <w:sz w:val="18"/>
              </w:rPr>
              <w:t>Condition / clause</w:t>
            </w:r>
          </w:p>
        </w:tc>
        <w:tc>
          <w:tcPr>
            <w:tcW w:type="dxa" w:w="3100"/>
            <w:shd w:val="clear" w:color="auto" w:fill="009CE5"/>
          </w:tcPr>
          <w:p>
            <w:pPr>
              <w:spacing w:after="20" w:before="20"/>
            </w:pPr>
            <w:r/>
            <w:r>
              <w:rPr>
                <w:rFonts w:ascii="Arial" w:hAnsi="Arial" w:cs="Arial"/>
                <w:b/>
                <w:i w:val="0"/>
                <w:color w:val="FFFFFF"/>
                <w:sz w:val="18"/>
              </w:rPr>
              <w:t>0223C</w:t>
            </w:r>
          </w:p>
        </w:tc>
        <w:tc>
          <w:tcPr>
            <w:tcW w:type="dxa" w:w="3100"/>
            <w:shd w:val="clear" w:color="auto" w:fill="009CE5"/>
          </w:tcPr>
          <w:p>
            <w:pPr>
              <w:spacing w:after="20" w:before="20"/>
            </w:pPr>
            <w:r/>
            <w:r>
              <w:rPr>
                <w:rFonts w:ascii="Arial" w:hAnsi="Arial" w:cs="Arial"/>
                <w:b/>
                <w:i w:val="0"/>
                <w:color w:val="FFFFFF"/>
                <w:sz w:val="18"/>
              </w:rPr>
              <w:t>0526</w:t>
            </w:r>
          </w:p>
        </w:tc>
        <w:tc>
          <w:tcPr>
            <w:tcW w:type="dxa" w:w="1100"/>
            <w:shd w:val="clear" w:color="auto" w:fill="009CE5"/>
          </w:tcPr>
          <w:p>
            <w:pPr>
              <w:spacing w:after="20" w:before="20"/>
              <w:jc w:val="center"/>
            </w:pPr>
            <w:r/>
            <w:r>
              <w:rPr>
                <w:rFonts w:ascii="Arial" w:hAnsi="Arial" w:cs="Arial"/>
                <w:b/>
                <w:i w:val="0"/>
                <w:color w:val="FFFFFF"/>
                <w:sz w:val="18"/>
              </w:rPr>
              <w:t>Status</w:t>
            </w:r>
          </w:p>
        </w:tc>
      </w:tr>
      <w:tr>
        <w:tc>
          <w:tcPr>
            <w:tcW w:type="dxa" w:w="2600"/>
          </w:tcPr>
          <w:p>
            <w:pPr>
              <w:spacing w:after="20" w:before="20"/>
            </w:pPr>
            <w:r/>
            <w:r>
              <w:rPr>
                <w:rFonts w:ascii="Arial" w:hAnsi="Arial" w:cs="Arial"/>
                <w:b w:val="0"/>
                <w:i w:val="0"/>
                <w:color w:val="212121"/>
                <w:sz w:val="18"/>
              </w:rPr>
              <w:t>Notification of a claim (Sections 1–11)</w:t>
            </w:r>
          </w:p>
        </w:tc>
        <w:tc>
          <w:tcPr>
            <w:tcW w:type="dxa" w:w="3100"/>
          </w:tcPr>
          <w:p>
            <w:pPr>
              <w:spacing w:after="20" w:before="20"/>
            </w:pPr>
            <w:r/>
            <w:r>
              <w:rPr>
                <w:rFonts w:ascii="Arial" w:hAnsi="Arial" w:cs="Arial"/>
                <w:b w:val="0"/>
                <w:i w:val="0"/>
                <w:color w:val="212121"/>
                <w:sz w:val="18"/>
              </w:rPr>
              <w:t>“The Insured shall notify … as soon as practicable”</w:t>
            </w:r>
          </w:p>
        </w:tc>
        <w:tc>
          <w:tcPr>
            <w:tcW w:type="dxa" w:w="3100"/>
          </w:tcPr>
          <w:p>
            <w:pPr>
              <w:spacing w:after="20" w:before="20"/>
            </w:pPr>
            <w:r/>
            <w:r>
              <w:rPr>
                <w:rFonts w:ascii="Arial" w:hAnsi="Arial" w:cs="Arial"/>
                <w:b w:val="0"/>
                <w:i w:val="0"/>
                <w:color w:val="212121"/>
                <w:sz w:val="18"/>
              </w:rPr>
              <w:t>“It is a Condition Precedent to liability … will notify … as soon as practicable”</w:t>
            </w:r>
          </w:p>
        </w:tc>
        <w:tc>
          <w:tcPr>
            <w:tcW w:type="dxa" w:w="1100"/>
            <w:shd w:val="clear" w:color="auto" w:fill="FBE3E8"/>
          </w:tcPr>
          <w:p>
            <w:pPr>
              <w:spacing w:after="20" w:before="20"/>
              <w:jc w:val="center"/>
            </w:pPr>
            <w:r/>
            <w:r>
              <w:rPr>
                <w:rFonts w:ascii="Arial" w:hAnsi="Arial" w:cs="Arial"/>
                <w:b/>
                <w:i w:val="0"/>
                <w:color w:val="A4001F"/>
                <w:sz w:val="18"/>
              </w:rPr>
              <w:t>Restrictive</w:t>
            </w:r>
          </w:p>
        </w:tc>
      </w:tr>
      <w:tr>
        <w:tc>
          <w:tcPr>
            <w:tcW w:type="dxa" w:w="2600"/>
          </w:tcPr>
          <w:p>
            <w:pPr>
              <w:spacing w:after="20" w:before="20"/>
            </w:pPr>
            <w:r/>
            <w:r>
              <w:rPr>
                <w:rFonts w:ascii="Arial" w:hAnsi="Arial" w:cs="Arial"/>
                <w:b w:val="0"/>
                <w:i w:val="0"/>
                <w:color w:val="212121"/>
                <w:sz w:val="18"/>
              </w:rPr>
              <w:t>Security Devices (intruder alarm)</w:t>
            </w:r>
          </w:p>
        </w:tc>
        <w:tc>
          <w:tcPr>
            <w:tcW w:type="dxa" w:w="3100"/>
          </w:tcPr>
          <w:p>
            <w:pPr>
              <w:spacing w:after="20" w:before="20"/>
            </w:pPr>
            <w:r/>
            <w:r>
              <w:rPr>
                <w:rFonts w:ascii="Arial" w:hAnsi="Arial" w:cs="Arial"/>
                <w:b w:val="0"/>
                <w:i w:val="0"/>
                <w:color w:val="212121"/>
                <w:sz w:val="18"/>
              </w:rPr>
              <w:t>Applies to any Intruder Alarm Installation</w:t>
            </w:r>
          </w:p>
        </w:tc>
        <w:tc>
          <w:tcPr>
            <w:tcW w:type="dxa" w:w="3100"/>
          </w:tcPr>
          <w:p>
            <w:pPr>
              <w:spacing w:after="20" w:before="20"/>
            </w:pPr>
            <w:r/>
            <w:r>
              <w:rPr>
                <w:rFonts w:ascii="Arial" w:hAnsi="Arial" w:cs="Arial"/>
                <w:b w:val="0"/>
                <w:i w:val="0"/>
                <w:color w:val="212121"/>
                <w:sz w:val="18"/>
              </w:rPr>
              <w:t>Applies to alarms “other than a bells only”</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Counsel reference</w:t>
            </w:r>
          </w:p>
        </w:tc>
        <w:tc>
          <w:tcPr>
            <w:tcW w:type="dxa" w:w="3100"/>
          </w:tcPr>
          <w:p>
            <w:pPr>
              <w:spacing w:after="20" w:before="20"/>
            </w:pPr>
            <w:r/>
            <w:r>
              <w:rPr>
                <w:rFonts w:ascii="Arial" w:hAnsi="Arial" w:cs="Arial"/>
                <w:b w:val="0"/>
                <w:i w:val="0"/>
                <w:color w:val="212121"/>
                <w:sz w:val="18"/>
              </w:rPr>
              <w:t>“Queens Counsel”</w:t>
            </w:r>
          </w:p>
        </w:tc>
        <w:tc>
          <w:tcPr>
            <w:tcW w:type="dxa" w:w="3100"/>
          </w:tcPr>
          <w:p>
            <w:pPr>
              <w:spacing w:after="20" w:before="20"/>
            </w:pPr>
            <w:r/>
            <w:r>
              <w:rPr>
                <w:rFonts w:ascii="Arial" w:hAnsi="Arial" w:cs="Arial"/>
                <w:b w:val="0"/>
                <w:i w:val="0"/>
                <w:color w:val="212121"/>
                <w:sz w:val="18"/>
              </w:rPr>
              <w:t>“King’s Counsel”</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Claims conditions applicability</w:t>
            </w:r>
          </w:p>
        </w:tc>
        <w:tc>
          <w:tcPr>
            <w:tcW w:type="dxa" w:w="3100"/>
          </w:tcPr>
          <w:p>
            <w:pPr>
              <w:spacing w:after="20" w:before="20"/>
            </w:pPr>
            <w:r/>
            <w:r>
              <w:rPr>
                <w:rFonts w:ascii="Arial" w:hAnsi="Arial" w:cs="Arial"/>
                <w:b w:val="0"/>
                <w:i w:val="0"/>
                <w:color w:val="212121"/>
                <w:sz w:val="18"/>
              </w:rPr>
              <w:t>Sections 1–12</w:t>
            </w:r>
          </w:p>
        </w:tc>
        <w:tc>
          <w:tcPr>
            <w:tcW w:type="dxa" w:w="3100"/>
          </w:tcPr>
          <w:p>
            <w:pPr>
              <w:spacing w:after="20" w:before="20"/>
            </w:pPr>
            <w:r/>
            <w:r>
              <w:rPr>
                <w:rFonts w:ascii="Arial" w:hAnsi="Arial" w:cs="Arial"/>
                <w:b w:val="0"/>
                <w:i w:val="0"/>
                <w:color w:val="212121"/>
                <w:sz w:val="18"/>
              </w:rPr>
              <w:t>Sections 1–11; 12–15 where stated; 14–15 have own provisions</w:t>
            </w:r>
          </w:p>
        </w:tc>
        <w:tc>
          <w:tcPr>
            <w:tcW w:type="dxa" w:w="1100"/>
            <w:shd w:val="clear" w:color="auto" w:fill="FBF1D6"/>
          </w:tcPr>
          <w:p>
            <w:pPr>
              <w:spacing w:after="20" w:before="20"/>
              <w:jc w:val="center"/>
            </w:pPr>
            <w:r/>
            <w:r>
              <w:rPr>
                <w:rFonts w:ascii="Arial" w:hAnsi="Arial" w:cs="Arial"/>
                <w:b/>
                <w:i w:val="0"/>
                <w:color w:val="7A5800"/>
                <w:sz w:val="18"/>
              </w:rPr>
              <w:t>Neutral</w:t>
            </w:r>
          </w:p>
        </w:tc>
      </w:tr>
      <w:tr>
        <w:tc>
          <w:tcPr>
            <w:tcW w:type="dxa" w:w="2600"/>
          </w:tcPr>
          <w:p>
            <w:pPr>
              <w:spacing w:after="20" w:before="20"/>
            </w:pPr>
            <w:r/>
            <w:r>
              <w:rPr>
                <w:rFonts w:ascii="Arial" w:hAnsi="Arial" w:cs="Arial"/>
                <w:b w:val="0"/>
                <w:i w:val="0"/>
                <w:color w:val="212121"/>
                <w:sz w:val="18"/>
              </w:rPr>
              <w:t>Notification to the Police</w:t>
            </w:r>
          </w:p>
        </w:tc>
        <w:tc>
          <w:tcPr>
            <w:tcW w:type="dxa" w:w="3100"/>
          </w:tcPr>
          <w:p>
            <w:pPr>
              <w:spacing w:after="20" w:before="20"/>
            </w:pPr>
            <w:r/>
            <w:r>
              <w:rPr>
                <w:rFonts w:ascii="Arial" w:hAnsi="Arial" w:cs="Arial"/>
                <w:b w:val="0"/>
                <w:i w:val="0"/>
                <w:color w:val="212121"/>
                <w:sz w:val="18"/>
              </w:rPr>
              <w:t>Condition precedent + “may prejudice” softener</w:t>
            </w:r>
          </w:p>
        </w:tc>
        <w:tc>
          <w:tcPr>
            <w:tcW w:type="dxa" w:w="3100"/>
          </w:tcPr>
          <w:p>
            <w:pPr>
              <w:spacing w:after="20" w:before="20"/>
            </w:pPr>
            <w:r/>
            <w:r>
              <w:rPr>
                <w:rFonts w:ascii="Arial" w:hAnsi="Arial" w:cs="Arial"/>
                <w:b w:val="0"/>
                <w:i w:val="0"/>
                <w:color w:val="212121"/>
                <w:sz w:val="18"/>
              </w:rPr>
              <w:t>Condition precedent (softener removed)</w:t>
            </w:r>
          </w:p>
        </w:tc>
        <w:tc>
          <w:tcPr>
            <w:tcW w:type="dxa" w:w="1100"/>
            <w:shd w:val="clear" w:color="auto" w:fill="FBF1D6"/>
          </w:tcPr>
          <w:p>
            <w:pPr>
              <w:spacing w:after="20" w:before="20"/>
              <w:jc w:val="center"/>
            </w:pPr>
            <w:r/>
            <w:r>
              <w:rPr>
                <w:rFonts w:ascii="Arial" w:hAnsi="Arial" w:cs="Arial"/>
                <w:b/>
                <w:i w:val="0"/>
                <w:color w:val="7A5800"/>
                <w:sz w:val="18"/>
              </w:rPr>
              <w:t>Clarification</w:t>
            </w:r>
          </w:p>
        </w:tc>
      </w:tr>
      <w:tr>
        <w:tc>
          <w:tcPr>
            <w:tcW w:type="dxa" w:w="2600"/>
          </w:tcPr>
          <w:p>
            <w:pPr>
              <w:spacing w:after="20" w:before="20"/>
            </w:pPr>
            <w:r/>
            <w:r>
              <w:rPr>
                <w:rFonts w:ascii="Arial" w:hAnsi="Arial" w:cs="Arial"/>
                <w:b w:val="0"/>
                <w:i w:val="0"/>
                <w:color w:val="212121"/>
                <w:sz w:val="18"/>
              </w:rPr>
              <w:t>Protection &amp; Maintenance conditions</w:t>
            </w:r>
          </w:p>
        </w:tc>
        <w:tc>
          <w:tcPr>
            <w:tcW w:type="dxa" w:w="3100"/>
          </w:tcPr>
          <w:p>
            <w:pPr>
              <w:spacing w:after="20" w:before="20"/>
            </w:pPr>
            <w:r/>
            <w:r>
              <w:rPr>
                <w:rFonts w:ascii="Arial" w:hAnsi="Arial" w:cs="Arial"/>
                <w:b w:val="0"/>
                <w:i w:val="0"/>
                <w:color w:val="212121"/>
                <w:sz w:val="18"/>
              </w:rPr>
              <w:t>Sections 1–12</w:t>
            </w:r>
          </w:p>
        </w:tc>
        <w:tc>
          <w:tcPr>
            <w:tcW w:type="dxa" w:w="3100"/>
          </w:tcPr>
          <w:p>
            <w:pPr>
              <w:spacing w:after="20" w:before="20"/>
            </w:pPr>
            <w:r/>
            <w:r>
              <w:rPr>
                <w:rFonts w:ascii="Arial" w:hAnsi="Arial" w:cs="Arial"/>
                <w:b w:val="0"/>
                <w:i w:val="0"/>
                <w:color w:val="212121"/>
                <w:sz w:val="18"/>
              </w:rPr>
              <w:t>Sections 1–11 (substantively carried over)</w:t>
            </w:r>
          </w:p>
        </w:tc>
        <w:tc>
          <w:tcPr>
            <w:tcW w:type="dxa" w:w="1100"/>
            <w:shd w:val="clear" w:color="auto" w:fill="FBF1D6"/>
          </w:tcPr>
          <w:p>
            <w:pPr>
              <w:spacing w:after="20" w:before="20"/>
              <w:jc w:val="center"/>
            </w:pPr>
            <w:r/>
            <w:r>
              <w:rPr>
                <w:rFonts w:ascii="Arial" w:hAnsi="Arial" w:cs="Arial"/>
                <w:b/>
                <w:i w:val="0"/>
                <w:color w:val="7A5800"/>
                <w:sz w:val="18"/>
              </w:rPr>
              <w:t>Neutral</w:t>
            </w:r>
          </w:p>
        </w:tc>
      </w:tr>
      <w:tr>
        <w:tc>
          <w:tcPr>
            <w:tcW w:type="dxa" w:w="2600"/>
          </w:tcPr>
          <w:p>
            <w:pPr>
              <w:spacing w:after="20" w:before="20"/>
            </w:pPr>
            <w:r/>
            <w:r>
              <w:rPr>
                <w:rFonts w:ascii="Arial" w:hAnsi="Arial" w:cs="Arial"/>
                <w:b w:val="0"/>
                <w:i w:val="0"/>
                <w:color w:val="212121"/>
                <w:sz w:val="18"/>
              </w:rPr>
              <w:t>Production Indemnity conditions precedent</w:t>
            </w:r>
          </w:p>
        </w:tc>
        <w:tc>
          <w:tcPr>
            <w:tcW w:type="dxa" w:w="3100"/>
          </w:tcPr>
          <w:p>
            <w:pPr>
              <w:spacing w:after="20" w:before="20"/>
            </w:pPr>
            <w:r/>
            <w:r>
              <w:rPr>
                <w:rFonts w:ascii="Arial" w:hAnsi="Arial" w:cs="Arial"/>
                <w:b w:val="0"/>
                <w:i w:val="0"/>
                <w:color w:val="212121"/>
                <w:sz w:val="18"/>
              </w:rPr>
              <w:t>Production planning, rushes, duplicates, etc.</w:t>
            </w:r>
          </w:p>
        </w:tc>
        <w:tc>
          <w:tcPr>
            <w:tcW w:type="dxa" w:w="3100"/>
          </w:tcPr>
          <w:p>
            <w:pPr>
              <w:spacing w:after="20" w:before="20"/>
            </w:pPr>
            <w:r/>
            <w:r>
              <w:rPr>
                <w:rFonts w:ascii="Arial" w:hAnsi="Arial" w:cs="Arial"/>
                <w:b w:val="0"/>
                <w:i w:val="0"/>
                <w:color w:val="212121"/>
                <w:sz w:val="18"/>
              </w:rPr>
              <w:t>Retained without material change</w:t>
            </w:r>
          </w:p>
        </w:tc>
        <w:tc>
          <w:tcPr>
            <w:tcW w:type="dxa" w:w="1100"/>
            <w:shd w:val="clear" w:color="auto" w:fill="FBF1D6"/>
          </w:tcPr>
          <w:p>
            <w:pPr>
              <w:spacing w:after="20" w:before="20"/>
              <w:jc w:val="center"/>
            </w:pPr>
            <w:r/>
            <w:r>
              <w:rPr>
                <w:rFonts w:ascii="Arial" w:hAnsi="Arial" w:cs="Arial"/>
                <w:b/>
                <w:i w:val="0"/>
                <w:color w:val="7A5800"/>
                <w:sz w:val="18"/>
              </w:rPr>
              <w:t>Neutral</w:t>
            </w:r>
          </w:p>
        </w:tc>
      </w:tr>
    </w:tbl>
    <w:p>
      <w:pPr>
        <w:spacing w:after="80" w:before="0"/>
      </w:pPr>
    </w:p>
    <w:p>
      <w:pPr>
        <w:pStyle w:val="Heading1"/>
        <w:spacing w:before="280" w:after="80"/>
      </w:pPr>
      <w:r>
        <w:rPr>
          <w:rFonts w:ascii="Arial" w:hAnsi="Arial" w:cs="Arial"/>
          <w:b/>
          <w:i w:val="0"/>
          <w:color w:val="009CE5"/>
          <w:sz w:val="30"/>
        </w:rPr>
        <w:t>LIMITS, SUB-LIMITS AND EXCESS CHANGES</w:t>
      </w:r>
    </w:p>
    <w:p>
      <w:pPr>
        <w:pStyle w:val="ListBullet"/>
        <w:spacing w:after="40"/>
      </w:pPr>
      <w:r>
        <w:rPr>
          <w:rFonts w:ascii="Arial" w:hAnsi="Arial" w:cs="Arial"/>
          <w:b w:val="0"/>
          <w:i w:val="0"/>
          <w:sz w:val="20"/>
        </w:rPr>
        <w:t>Carried-over sub-limits appear consistent between the wordings, including witness/court attendance costs (GBP 500 / GBP 200 per day), Criminal Prosecution Defence Costs (GBP 250,000; GBP 5,000,000 for manslaughter), asbestos and pollution fire/explosion write-backs (GBP 500,000) and the Media Liability Virus sub-limit (GBP 500,000).</w:t>
      </w:r>
    </w:p>
    <w:p>
      <w:pPr>
        <w:pStyle w:val="ListBullet"/>
        <w:spacing w:after="40"/>
      </w:pPr>
      <w:r>
        <w:rPr>
          <w:rFonts w:ascii="Arial" w:hAnsi="Arial" w:cs="Arial"/>
          <w:b w:val="0"/>
          <w:i w:val="0"/>
          <w:sz w:val="20"/>
        </w:rPr>
        <w:t>New limits introduced with the new Sections: Legal Expenses GBP 100,000 per claim / GBP 1,000,000 aggregate employment compensation; Production Indemnity Agency &amp; Talent Costs GBP 30,000; Section 2 Artists’ Technical Equipment GBP 20,000; Cyber Court Attendance GBP 500 per day; Management Liability and Cyber limits as stated in the Schedule.</w:t>
      </w:r>
    </w:p>
    <w:p>
      <w:pPr>
        <w:pStyle w:val="ListBullet"/>
        <w:spacing w:after="40"/>
      </w:pPr>
      <w:r>
        <w:rPr>
          <w:rFonts w:ascii="Arial" w:hAnsi="Arial" w:cs="Arial"/>
          <w:b w:val="0"/>
          <w:i w:val="0"/>
          <w:sz w:val="20"/>
        </w:rPr>
        <w:t>All sums insured, limits of indemnity, sub-limits and excesses remain Schedule-driven – confirm the amounts against the Schedule for each operative Section.</w:t>
      </w:r>
    </w:p>
    <w:p>
      <w:pPr>
        <w:pStyle w:val="Heading1"/>
        <w:spacing w:before="280" w:after="80"/>
      </w:pPr>
      <w:r>
        <w:rPr>
          <w:rFonts w:ascii="Arial" w:hAnsi="Arial" w:cs="Arial"/>
          <w:b/>
          <w:i w:val="0"/>
          <w:color w:val="009CE5"/>
          <w:sz w:val="30"/>
        </w:rPr>
        <w:t>SECTION-BY-SECTION COMPARISON</w:t>
      </w:r>
    </w:p>
    <w:tbl>
      <w:tblPr>
        <w:tblW w:type="auto" w:w="0"/>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pct" w:w="5000"/>
      </w:tblPr>
      <w:tblGrid>
        <w:gridCol w:w="3477"/>
        <w:gridCol w:w="3477"/>
        <w:gridCol w:w="3477"/>
      </w:tblGrid>
      <w:tr>
        <w:tc>
          <w:tcPr>
            <w:tcW w:type="dxa" w:w="3200"/>
            <w:shd w:val="clear" w:color="auto" w:fill="009CE5"/>
          </w:tcPr>
          <w:p>
            <w:pPr>
              <w:spacing w:after="20" w:before="20"/>
            </w:pPr>
            <w:r/>
            <w:r>
              <w:rPr>
                <w:rFonts w:ascii="Arial" w:hAnsi="Arial" w:cs="Arial"/>
                <w:b/>
                <w:i w:val="0"/>
                <w:color w:val="FFFFFF"/>
                <w:sz w:val="18"/>
              </w:rPr>
              <w:t>0223C Section</w:t>
            </w:r>
          </w:p>
        </w:tc>
        <w:tc>
          <w:tcPr>
            <w:tcW w:type="dxa" w:w="4600"/>
            <w:shd w:val="clear" w:color="auto" w:fill="009CE5"/>
          </w:tcPr>
          <w:p>
            <w:pPr>
              <w:spacing w:after="20" w:before="20"/>
            </w:pPr>
            <w:r/>
            <w:r>
              <w:rPr>
                <w:rFonts w:ascii="Arial" w:hAnsi="Arial" w:cs="Arial"/>
                <w:b/>
                <w:i w:val="0"/>
                <w:color w:val="FFFFFF"/>
                <w:sz w:val="18"/>
              </w:rPr>
              <w:t>0526 Section</w:t>
            </w:r>
          </w:p>
        </w:tc>
        <w:tc>
          <w:tcPr>
            <w:tcW w:type="dxa" w:w="1900"/>
            <w:shd w:val="clear" w:color="auto" w:fill="009CE5"/>
          </w:tcPr>
          <w:p>
            <w:pPr>
              <w:spacing w:after="20" w:before="20"/>
              <w:jc w:val="center"/>
            </w:pPr>
            <w:r/>
            <w:r>
              <w:rPr>
                <w:rFonts w:ascii="Arial" w:hAnsi="Arial" w:cs="Arial"/>
                <w:b/>
                <w:i w:val="0"/>
                <w:color w:val="FFFFFF"/>
                <w:sz w:val="18"/>
              </w:rPr>
              <w:t>Status</w:t>
            </w:r>
          </w:p>
        </w:tc>
      </w:tr>
      <w:tr>
        <w:tc>
          <w:tcPr>
            <w:tcW w:type="dxa" w:w="3200"/>
          </w:tcPr>
          <w:p>
            <w:pPr>
              <w:spacing w:after="20" w:before="20"/>
            </w:pPr>
            <w:r/>
            <w:r>
              <w:rPr>
                <w:rFonts w:ascii="Arial" w:hAnsi="Arial" w:cs="Arial"/>
                <w:b w:val="0"/>
                <w:i w:val="0"/>
                <w:color w:val="212121"/>
                <w:sz w:val="18"/>
              </w:rPr>
              <w:t>1 – Business “All Risks”</w:t>
            </w:r>
          </w:p>
        </w:tc>
        <w:tc>
          <w:tcPr>
            <w:tcW w:type="dxa" w:w="4600"/>
          </w:tcPr>
          <w:p>
            <w:pPr>
              <w:spacing w:after="20" w:before="20"/>
            </w:pPr>
            <w:r/>
            <w:r>
              <w:rPr>
                <w:rFonts w:ascii="Arial" w:hAnsi="Arial" w:cs="Arial"/>
                <w:b w:val="0"/>
                <w:i w:val="0"/>
                <w:color w:val="212121"/>
                <w:sz w:val="18"/>
              </w:rPr>
              <w:t>1 – Business “All Risks” (Premises Risk only; now incl. IT &amp; Breakdown)</w:t>
            </w:r>
          </w:p>
        </w:tc>
        <w:tc>
          <w:tcPr>
            <w:tcW w:type="dxa" w:w="1900"/>
            <w:shd w:val="clear" w:color="auto" w:fill="E2F3E8"/>
          </w:tcPr>
          <w:p>
            <w:pPr>
              <w:spacing w:after="20" w:before="20"/>
              <w:jc w:val="center"/>
            </w:pPr>
            <w:r/>
            <w:r>
              <w:rPr>
                <w:rFonts w:ascii="Arial" w:hAnsi="Arial" w:cs="Arial"/>
                <w:b/>
                <w:i w:val="0"/>
                <w:color w:val="1B5E20"/>
                <w:sz w:val="18"/>
              </w:rPr>
              <w:t>Broader</w:t>
            </w:r>
          </w:p>
        </w:tc>
      </w:tr>
      <w:tr>
        <w:tc>
          <w:tcPr>
            <w:tcW w:type="dxa" w:w="3200"/>
          </w:tcPr>
          <w:p>
            <w:pPr>
              <w:spacing w:after="20" w:before="20"/>
            </w:pPr>
            <w:r/>
            <w:r>
              <w:rPr>
                <w:rFonts w:ascii="Arial" w:hAnsi="Arial" w:cs="Arial"/>
                <w:b w:val="0"/>
                <w:i w:val="0"/>
                <w:color w:val="212121"/>
                <w:sz w:val="18"/>
              </w:rPr>
              <w:t>2 – Production Property “All Risks”</w:t>
            </w:r>
          </w:p>
        </w:tc>
        <w:tc>
          <w:tcPr>
            <w:tcW w:type="dxa" w:w="4600"/>
          </w:tcPr>
          <w:p>
            <w:pPr>
              <w:spacing w:after="20" w:before="20"/>
            </w:pPr>
            <w:r/>
            <w:r>
              <w:rPr>
                <w:rFonts w:ascii="Arial" w:hAnsi="Arial" w:cs="Arial"/>
                <w:b w:val="0"/>
                <w:i w:val="0"/>
                <w:color w:val="212121"/>
                <w:sz w:val="18"/>
              </w:rPr>
              <w:t>2 – Property &amp; Equipment “All Risks” (renamed / expanded)</w:t>
            </w:r>
          </w:p>
        </w:tc>
        <w:tc>
          <w:tcPr>
            <w:tcW w:type="dxa" w:w="1900"/>
            <w:shd w:val="clear" w:color="auto" w:fill="E2F3E8"/>
          </w:tcPr>
          <w:p>
            <w:pPr>
              <w:spacing w:after="20" w:before="20"/>
              <w:jc w:val="center"/>
            </w:pPr>
            <w:r/>
            <w:r>
              <w:rPr>
                <w:rFonts w:ascii="Arial" w:hAnsi="Arial" w:cs="Arial"/>
                <w:b/>
                <w:i w:val="0"/>
                <w:color w:val="1B5E20"/>
                <w:sz w:val="18"/>
              </w:rPr>
              <w:t>Broader</w:t>
            </w:r>
          </w:p>
        </w:tc>
      </w:tr>
      <w:tr>
        <w:tc>
          <w:tcPr>
            <w:tcW w:type="dxa" w:w="3200"/>
          </w:tcPr>
          <w:p>
            <w:pPr>
              <w:spacing w:after="20" w:before="20"/>
            </w:pPr>
            <w:r/>
            <w:r>
              <w:rPr>
                <w:rFonts w:ascii="Arial" w:hAnsi="Arial" w:cs="Arial"/>
                <w:b w:val="0"/>
                <w:i w:val="0"/>
                <w:color w:val="212121"/>
                <w:sz w:val="18"/>
              </w:rPr>
              <w:t>3 – Business Interruption “All Risks”</w:t>
            </w:r>
          </w:p>
        </w:tc>
        <w:tc>
          <w:tcPr>
            <w:tcW w:type="dxa" w:w="4600"/>
          </w:tcPr>
          <w:p>
            <w:pPr>
              <w:spacing w:after="20" w:before="20"/>
            </w:pPr>
            <w:r/>
            <w:r>
              <w:rPr>
                <w:rFonts w:ascii="Arial" w:hAnsi="Arial" w:cs="Arial"/>
                <w:b w:val="0"/>
                <w:i w:val="0"/>
                <w:color w:val="212121"/>
                <w:sz w:val="18"/>
              </w:rPr>
              <w:t>3 – Business Interruption “All Risks”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4 – Information Technology</w:t>
            </w:r>
          </w:p>
        </w:tc>
        <w:tc>
          <w:tcPr>
            <w:tcW w:type="dxa" w:w="4600"/>
          </w:tcPr>
          <w:p>
            <w:pPr>
              <w:spacing w:after="20" w:before="20"/>
            </w:pPr>
            <w:r/>
            <w:r>
              <w:rPr>
                <w:rFonts w:ascii="Arial" w:hAnsi="Arial" w:cs="Arial"/>
                <w:b w:val="0"/>
                <w:i w:val="0"/>
                <w:color w:val="212121"/>
                <w:sz w:val="18"/>
              </w:rPr>
              <w:t>Removed – consolidated into Sections 1 &amp; 2</w:t>
            </w:r>
          </w:p>
        </w:tc>
        <w:tc>
          <w:tcPr>
            <w:tcW w:type="dxa" w:w="1900"/>
            <w:shd w:val="clear" w:color="auto" w:fill="FBF1D6"/>
          </w:tcPr>
          <w:p>
            <w:pPr>
              <w:spacing w:after="20" w:before="20"/>
              <w:jc w:val="center"/>
            </w:pPr>
            <w:r/>
            <w:r>
              <w:rPr>
                <w:rFonts w:ascii="Arial" w:hAnsi="Arial" w:cs="Arial"/>
                <w:b/>
                <w:i w:val="0"/>
                <w:color w:val="7A5800"/>
                <w:sz w:val="18"/>
              </w:rPr>
              <w:t>Clarification</w:t>
            </w:r>
          </w:p>
        </w:tc>
      </w:tr>
      <w:tr>
        <w:tc>
          <w:tcPr>
            <w:tcW w:type="dxa" w:w="3200"/>
          </w:tcPr>
          <w:p>
            <w:pPr>
              <w:spacing w:after="20" w:before="20"/>
            </w:pPr>
            <w:r/>
            <w:r>
              <w:rPr>
                <w:rFonts w:ascii="Arial" w:hAnsi="Arial" w:cs="Arial"/>
                <w:b w:val="0"/>
                <w:i w:val="0"/>
                <w:color w:val="212121"/>
                <w:sz w:val="18"/>
              </w:rPr>
              <w:t>5 – Terrorism</w:t>
            </w:r>
          </w:p>
        </w:tc>
        <w:tc>
          <w:tcPr>
            <w:tcW w:type="dxa" w:w="4600"/>
          </w:tcPr>
          <w:p>
            <w:pPr>
              <w:spacing w:after="20" w:before="20"/>
            </w:pPr>
            <w:r/>
            <w:r>
              <w:rPr>
                <w:rFonts w:ascii="Arial" w:hAnsi="Arial" w:cs="Arial"/>
                <w:b w:val="0"/>
                <w:i w:val="0"/>
                <w:color w:val="212121"/>
                <w:sz w:val="18"/>
              </w:rPr>
              <w:t>4 – Terrorism</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6 – Employers’ Liability</w:t>
            </w:r>
          </w:p>
        </w:tc>
        <w:tc>
          <w:tcPr>
            <w:tcW w:type="dxa" w:w="4600"/>
          </w:tcPr>
          <w:p>
            <w:pPr>
              <w:spacing w:after="20" w:before="20"/>
            </w:pPr>
            <w:r/>
            <w:r>
              <w:rPr>
                <w:rFonts w:ascii="Arial" w:hAnsi="Arial" w:cs="Arial"/>
                <w:b w:val="0"/>
                <w:i w:val="0"/>
                <w:color w:val="212121"/>
                <w:sz w:val="18"/>
              </w:rPr>
              <w:t>5 – Employers’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7 – Public Liability</w:t>
            </w:r>
          </w:p>
        </w:tc>
        <w:tc>
          <w:tcPr>
            <w:tcW w:type="dxa" w:w="4600"/>
          </w:tcPr>
          <w:p>
            <w:pPr>
              <w:spacing w:after="20" w:before="20"/>
            </w:pPr>
            <w:r/>
            <w:r>
              <w:rPr>
                <w:rFonts w:ascii="Arial" w:hAnsi="Arial" w:cs="Arial"/>
                <w:b w:val="0"/>
                <w:i w:val="0"/>
                <w:color w:val="212121"/>
                <w:sz w:val="18"/>
              </w:rPr>
              <w:t>6 – Public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8 – Products Liability</w:t>
            </w:r>
          </w:p>
        </w:tc>
        <w:tc>
          <w:tcPr>
            <w:tcW w:type="dxa" w:w="4600"/>
          </w:tcPr>
          <w:p>
            <w:pPr>
              <w:spacing w:after="20" w:before="20"/>
            </w:pPr>
            <w:r/>
            <w:r>
              <w:rPr>
                <w:rFonts w:ascii="Arial" w:hAnsi="Arial" w:cs="Arial"/>
                <w:b w:val="0"/>
                <w:i w:val="0"/>
                <w:color w:val="212121"/>
                <w:sz w:val="18"/>
              </w:rPr>
              <w:t>7 – Products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9 – Money</w:t>
            </w:r>
          </w:p>
        </w:tc>
        <w:tc>
          <w:tcPr>
            <w:tcW w:type="dxa" w:w="4600"/>
          </w:tcPr>
          <w:p>
            <w:pPr>
              <w:spacing w:after="20" w:before="20"/>
            </w:pPr>
            <w:r/>
            <w:r>
              <w:rPr>
                <w:rFonts w:ascii="Arial" w:hAnsi="Arial" w:cs="Arial"/>
                <w:b w:val="0"/>
                <w:i w:val="0"/>
                <w:color w:val="212121"/>
                <w:sz w:val="18"/>
              </w:rPr>
              <w:t>8 – Money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10 – Goods in Transit</w:t>
            </w:r>
          </w:p>
        </w:tc>
        <w:tc>
          <w:tcPr>
            <w:tcW w:type="dxa" w:w="4600"/>
          </w:tcPr>
          <w:p>
            <w:pPr>
              <w:spacing w:after="20" w:before="20"/>
            </w:pPr>
            <w:r/>
            <w:r>
              <w:rPr>
                <w:rFonts w:ascii="Arial" w:hAnsi="Arial" w:cs="Arial"/>
                <w:b w:val="0"/>
                <w:i w:val="0"/>
                <w:color w:val="212121"/>
                <w:sz w:val="18"/>
              </w:rPr>
              <w:t>9 – Goods in Transit</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11 – Loss of Licence</w:t>
            </w:r>
          </w:p>
        </w:tc>
        <w:tc>
          <w:tcPr>
            <w:tcW w:type="dxa" w:w="4600"/>
          </w:tcPr>
          <w:p>
            <w:pPr>
              <w:spacing w:after="20" w:before="20"/>
            </w:pPr>
            <w:r/>
            <w:r>
              <w:rPr>
                <w:rFonts w:ascii="Arial" w:hAnsi="Arial" w:cs="Arial"/>
                <w:b w:val="0"/>
                <w:i w:val="0"/>
                <w:color w:val="212121"/>
                <w:sz w:val="18"/>
              </w:rPr>
              <w:t>10 – Loss of Licence</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12 – Production Indemnity “All Risks”</w:t>
            </w:r>
          </w:p>
        </w:tc>
        <w:tc>
          <w:tcPr>
            <w:tcW w:type="dxa" w:w="4600"/>
          </w:tcPr>
          <w:p>
            <w:pPr>
              <w:spacing w:after="20" w:before="20"/>
            </w:pPr>
            <w:r/>
            <w:r>
              <w:rPr>
                <w:rFonts w:ascii="Arial" w:hAnsi="Arial" w:cs="Arial"/>
                <w:b w:val="0"/>
                <w:i w:val="0"/>
                <w:color w:val="212121"/>
                <w:sz w:val="18"/>
              </w:rPr>
              <w:t>11 – Production Indemnity “All Risks”</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13 – Media Liability</w:t>
            </w:r>
          </w:p>
        </w:tc>
        <w:tc>
          <w:tcPr>
            <w:tcW w:type="dxa" w:w="4600"/>
          </w:tcPr>
          <w:p>
            <w:pPr>
              <w:spacing w:after="20" w:before="20"/>
            </w:pPr>
            <w:r/>
            <w:r>
              <w:rPr>
                <w:rFonts w:ascii="Arial" w:hAnsi="Arial" w:cs="Arial"/>
                <w:b w:val="0"/>
                <w:i w:val="0"/>
                <w:color w:val="212121"/>
                <w:sz w:val="18"/>
              </w:rPr>
              <w:t>12 – Media Liability</w:t>
            </w:r>
          </w:p>
        </w:tc>
        <w:tc>
          <w:tcPr>
            <w:tcW w:type="dxa" w:w="1900"/>
            <w:shd w:val="clear" w:color="auto" w:fill="FBF1D6"/>
          </w:tcPr>
          <w:p>
            <w:pPr>
              <w:spacing w:after="20" w:before="20"/>
              <w:jc w:val="center"/>
            </w:pPr>
            <w:r/>
            <w:r>
              <w:rPr>
                <w:rFonts w:ascii="Arial" w:hAnsi="Arial" w:cs="Arial"/>
                <w:b/>
                <w:i w:val="0"/>
                <w:color w:val="7A5800"/>
                <w:sz w:val="18"/>
              </w:rPr>
              <w:t>Neutral</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13 – Commercial Legal Expenses (ARAG)</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14 – Management Liability</w:t>
            </w:r>
          </w:p>
        </w:tc>
        <w:tc>
          <w:tcPr>
            <w:tcW w:type="dxa" w:w="1900"/>
            <w:shd w:val="clear" w:color="auto" w:fill="E2F3E8"/>
          </w:tcPr>
          <w:p>
            <w:pPr>
              <w:spacing w:after="20" w:before="20"/>
              <w:jc w:val="center"/>
            </w:pPr>
            <w:r/>
            <w:r>
              <w:rPr>
                <w:rFonts w:ascii="Arial" w:hAnsi="Arial" w:cs="Arial"/>
                <w:b/>
                <w:i w:val="0"/>
                <w:color w:val="1B5E20"/>
                <w:sz w:val="18"/>
              </w:rPr>
              <w:t>New cover</w:t>
            </w:r>
          </w:p>
        </w:tc>
      </w:tr>
      <w:tr>
        <w:tc>
          <w:tcPr>
            <w:tcW w:type="dxa" w:w="3200"/>
          </w:tcPr>
          <w:p>
            <w:pPr>
              <w:spacing w:after="20" w:before="20"/>
            </w:pPr>
            <w:r/>
            <w:r>
              <w:rPr>
                <w:rFonts w:ascii="Arial" w:hAnsi="Arial" w:cs="Arial"/>
                <w:b w:val="0"/>
                <w:i w:val="0"/>
                <w:color w:val="212121"/>
                <w:sz w:val="18"/>
              </w:rPr>
              <w:t>—</w:t>
            </w:r>
          </w:p>
        </w:tc>
        <w:tc>
          <w:tcPr>
            <w:tcW w:type="dxa" w:w="4600"/>
          </w:tcPr>
          <w:p>
            <w:pPr>
              <w:spacing w:after="20" w:before="20"/>
            </w:pPr>
            <w:r/>
            <w:r>
              <w:rPr>
                <w:rFonts w:ascii="Arial" w:hAnsi="Arial" w:cs="Arial"/>
                <w:b w:val="0"/>
                <w:i w:val="0"/>
                <w:color w:val="212121"/>
                <w:sz w:val="18"/>
              </w:rPr>
              <w:t>15 – CyberGuard™ Cyber Liability</w:t>
            </w:r>
          </w:p>
        </w:tc>
        <w:tc>
          <w:tcPr>
            <w:tcW w:type="dxa" w:w="1900"/>
            <w:shd w:val="clear" w:color="auto" w:fill="E2F3E8"/>
          </w:tcPr>
          <w:p>
            <w:pPr>
              <w:spacing w:after="20" w:before="20"/>
              <w:jc w:val="center"/>
            </w:pPr>
            <w:r/>
            <w:r>
              <w:rPr>
                <w:rFonts w:ascii="Arial" w:hAnsi="Arial" w:cs="Arial"/>
                <w:b/>
                <w:i w:val="0"/>
                <w:color w:val="1B5E20"/>
                <w:sz w:val="18"/>
              </w:rPr>
              <w:t>New cover</w:t>
            </w:r>
          </w:p>
        </w:tc>
      </w:tr>
    </w:tbl>
    <w:p>
      <w:pPr>
        <w:spacing w:after="80" w:before="0"/>
      </w:pPr>
    </w:p>
    <w:p>
      <w:pPr>
        <w:pStyle w:val="Heading1"/>
        <w:spacing w:before="280" w:after="80"/>
      </w:pPr>
      <w:r>
        <w:rPr>
          <w:rFonts w:ascii="Arial" w:hAnsi="Arial" w:cs="Arial"/>
          <w:b/>
          <w:i w:val="0"/>
          <w:color w:val="009CE5"/>
          <w:sz w:val="30"/>
        </w:rPr>
        <w:t>BROKER / CLIENT COMMUNICATION POINTS</w:t>
      </w:r>
    </w:p>
    <w:p>
      <w:pPr>
        <w:pStyle w:val="ListBullet"/>
        <w:spacing w:after="40"/>
      </w:pPr>
      <w:r>
        <w:rPr>
          <w:rFonts w:ascii="Arial" w:hAnsi="Arial" w:cs="Arial"/>
          <w:b w:val="0"/>
          <w:i w:val="0"/>
          <w:sz w:val="20"/>
        </w:rPr>
        <w:t>Three significant new covers are now available – discuss whether to select Commercial Legal Expenses, Management Liability and Cyber, and the limits required.</w:t>
      </w:r>
    </w:p>
    <w:p>
      <w:pPr>
        <w:pStyle w:val="ListBullet"/>
        <w:spacing w:after="40"/>
      </w:pPr>
      <w:r>
        <w:rPr>
          <w:rFonts w:ascii="Arial" w:hAnsi="Arial" w:cs="Arial"/>
          <w:b w:val="0"/>
          <w:i w:val="0"/>
          <w:sz w:val="20"/>
        </w:rPr>
        <w:t>Explain the new claim-notification Condition Precedent – prompt notification is essential to protect the right to claim.</w:t>
      </w:r>
    </w:p>
    <w:p>
      <w:pPr>
        <w:pStyle w:val="ListBullet"/>
        <w:spacing w:after="40"/>
      </w:pPr>
      <w:r>
        <w:rPr>
          <w:rFonts w:ascii="Arial" w:hAnsi="Arial" w:cs="Arial"/>
          <w:b w:val="0"/>
          <w:i w:val="0"/>
          <w:sz w:val="20"/>
        </w:rPr>
        <w:t>Confirm that the IT / computer equipment and Breakdown cover now sitting in Sections 1 and 2 meets the client’s needs, with no gap against the former Information Technology Section.</w:t>
      </w:r>
    </w:p>
    <w:p>
      <w:pPr>
        <w:pStyle w:val="ListBullet"/>
        <w:spacing w:after="40"/>
      </w:pPr>
      <w:r>
        <w:rPr>
          <w:rFonts w:ascii="Arial" w:hAnsi="Arial" w:cs="Arial"/>
          <w:b w:val="0"/>
          <w:i w:val="0"/>
          <w:sz w:val="20"/>
        </w:rPr>
        <w:t>Highlight that the new Sections operate on a claims-made basis and carry their own exclusions and conditions.</w:t>
      </w:r>
    </w:p>
    <w:p>
      <w:pPr>
        <w:pStyle w:val="ListBullet"/>
        <w:spacing w:after="40"/>
      </w:pPr>
      <w:r>
        <w:rPr>
          <w:rFonts w:ascii="Arial" w:hAnsi="Arial" w:cs="Arial"/>
          <w:b w:val="0"/>
          <w:i w:val="0"/>
          <w:sz w:val="20"/>
        </w:rPr>
        <w:t>Re-check sums insured, limits and excesses in the Schedule, particularly for the new Sections.</w:t>
      </w:r>
    </w:p>
    <w:p>
      <w:pPr>
        <w:pStyle w:val="Heading1"/>
        <w:spacing w:before="280" w:after="80"/>
      </w:pPr>
      <w:r>
        <w:rPr>
          <w:rFonts w:ascii="Arial" w:hAnsi="Arial" w:cs="Arial"/>
          <w:b/>
          <w:i w:val="0"/>
          <w:color w:val="009CE5"/>
          <w:sz w:val="30"/>
        </w:rPr>
        <w:t>REVIEWER NOTES (FOR UNDERWRITING / LEGAL SIGN-OFF)</w:t>
      </w:r>
    </w:p>
    <w:p>
      <w:pPr>
        <w:spacing w:after="120" w:before="0"/>
      </w:pPr>
      <w:r>
        <w:rPr>
          <w:rFonts w:ascii="Arial" w:hAnsi="Arial" w:cs="Arial"/>
          <w:b w:val="0"/>
          <w:i/>
          <w:color w:val="595959"/>
          <w:sz w:val="18"/>
        </w:rPr>
        <w:t>The drafting points originally identified in the supplied 0526 wording have been corrected in the final amended wording delivered alongside this document. They are recorded here for transparency, with the items still recommended for sign-off.</w:t>
      </w:r>
    </w:p>
    <w:p>
      <w:pPr>
        <w:pStyle w:val="ListBullet"/>
        <w:spacing w:after="40"/>
      </w:pPr>
      <w:r>
        <w:rPr>
          <w:rFonts w:ascii="Arial" w:hAnsi="Arial" w:cs="Arial"/>
          <w:b w:val="0"/>
          <w:i w:val="0"/>
          <w:sz w:val="20"/>
        </w:rPr>
        <w:t>CORRECTED: references to a non-existent “Section 16” (Insuring Agreement, General Conditions and Policy Exclusions) have been amended to read Sections 13/14/15. This arose from deleting the old Section 4 (Information Technology) after the three new Sections had been numbered.</w:t>
      </w:r>
    </w:p>
    <w:p>
      <w:pPr>
        <w:pStyle w:val="ListBullet"/>
        <w:spacing w:after="40"/>
      </w:pPr>
      <w:r>
        <w:rPr>
          <w:rFonts w:ascii="Arial" w:hAnsi="Arial" w:cs="Arial"/>
          <w:b w:val="0"/>
          <w:i w:val="0"/>
          <w:sz w:val="20"/>
        </w:rPr>
        <w:t>CORRECTED: stale references to the removed standalone “Information Technology Section” have been taken out of the conditions and exclusions; the IT cover and its conditions now sit within the Business “All Risks” Section (Section 1), which is already listed in those clauses.</w:t>
      </w:r>
    </w:p>
    <w:p>
      <w:pPr>
        <w:pStyle w:val="ListBullet"/>
        <w:spacing w:after="40"/>
      </w:pPr>
      <w:r>
        <w:rPr>
          <w:rFonts w:ascii="Arial" w:hAnsi="Arial" w:cs="Arial"/>
          <w:b w:val="0"/>
          <w:i w:val="0"/>
          <w:sz w:val="20"/>
        </w:rPr>
        <w:t>CORRECTED: the Section 15 (CyberGuard™) wording has been restyled to match the rest of the document and now appears in the live table of contents.</w:t>
      </w:r>
    </w:p>
    <w:p>
      <w:pPr>
        <w:pStyle w:val="ListBullet"/>
        <w:spacing w:after="40"/>
      </w:pPr>
      <w:r>
        <w:rPr>
          <w:rFonts w:ascii="Arial" w:hAnsi="Arial" w:cs="Arial"/>
          <w:b w:val="0"/>
          <w:i w:val="0"/>
          <w:sz w:val="20"/>
        </w:rPr>
        <w:t>OPEN: minor typographical / OCR artefacts remain in a few clauses (e.g. Conduct of Claims, Duty to Defend) – recommend a final proofreading pass before external issue.</w:t>
      </w:r>
    </w:p>
    <w:p>
      <w:pPr>
        <w:pStyle w:val="ListBullet"/>
        <w:spacing w:after="40"/>
      </w:pPr>
      <w:r>
        <w:rPr>
          <w:rFonts w:ascii="Arial" w:hAnsi="Arial" w:cs="Arial"/>
          <w:b w:val="0"/>
          <w:i w:val="0"/>
          <w:sz w:val="20"/>
        </w:rPr>
        <w:t>OPEN: confirm whether the IT-specific “Data Storage” condition precedent from the former IT Section should be reproduced within Section 1.</w:t>
      </w:r>
    </w:p>
    <w:p>
      <w:pPr>
        <w:pStyle w:val="ListBullet"/>
        <w:spacing w:after="40"/>
      </w:pPr>
      <w:r>
        <w:rPr>
          <w:rFonts w:ascii="Arial" w:hAnsi="Arial" w:cs="Arial"/>
          <w:b w:val="0"/>
          <w:i w:val="0"/>
          <w:sz w:val="20"/>
        </w:rPr>
        <w:t>OPEN: some internal applicability lists still use the former name “Production Property” for Section 2 (now titled “Property &amp; Equipment”) – recommend aligning the naming.</w:t>
      </w:r>
    </w:p>
    <w:p>
      <w:pPr>
        <w:pStyle w:val="ListBullet"/>
        <w:spacing w:after="40"/>
      </w:pPr>
      <w:r>
        <w:rPr>
          <w:rFonts w:ascii="Arial" w:hAnsi="Arial" w:cs="Arial"/>
          <w:b w:val="0"/>
          <w:i w:val="0"/>
          <w:sz w:val="20"/>
        </w:rPr>
        <w:t>All limits and excesses are Schedule-driven; this comparison does not confirm amounts.</w:t>
      </w:r>
    </w:p>
    <w:p>
      <w:pPr>
        <w:pStyle w:val="ListBullet"/>
        <w:spacing w:after="40"/>
      </w:pPr>
      <w:r>
        <w:rPr>
          <w:rFonts w:ascii="Arial" w:hAnsi="Arial" w:cs="Arial"/>
          <w:b w:val="0"/>
          <w:i w:val="0"/>
          <w:sz w:val="20"/>
        </w:rPr>
        <w:t>This document is a professional comparison aid prepared from the supplied wordings. It does not constitute legal advice and does not alter the policy wording; material points should be confirmed with underwriting / legal sign-off.</w:t>
      </w:r>
    </w:p>
    <w:sectPr w:rsidR="007017A1" w:rsidRPr="007017A1" w:rsidSect="000E342B">
      <w:footerReference w:type="first" r:id="rId11"/>
      <w:footerReference w:type="default" r:id="rId11"/>
      <w:type w:val="continuous"/>
      <w:pgSz w:w="11906" w:h="16838" w:code="9"/>
      <w:pgMar w:top="737" w:right="737" w:bottom="1134" w:left="737" w:header="454" w:footer="352"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B54EB" w14:textId="77777777" w:rsidR="004C4863" w:rsidRDefault="004C4863" w:rsidP="003146C2">
      <w:r>
        <w:separator/>
      </w:r>
    </w:p>
  </w:endnote>
  <w:endnote w:type="continuationSeparator" w:id="0">
    <w:p w14:paraId="7E420E50" w14:textId="77777777" w:rsidR="004C4863" w:rsidRDefault="004C4863" w:rsidP="0031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ms Rmn">
    <w:panose1 w:val="020206030405050203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tblpYSpec="bottom"/>
      <w:tblOverlap w:val="never"/>
      <w:tblW w:w="5000" w:type="pct"/>
      <w:tblBorders>
        <w:top w:val="single" w:sz="4" w:space="0" w:color="009CE5" w:themeColor="accent1"/>
      </w:tblBorders>
      <w:tblCellMar>
        <w:left w:w="0" w:type="dxa"/>
        <w:right w:w="0" w:type="dxa"/>
      </w:tblCellMar>
      <w:tblLook w:val="04A0" w:firstRow="1" w:lastRow="0" w:firstColumn="1" w:lastColumn="0" w:noHBand="0" w:noVBand="1"/>
    </w:tblPr>
    <w:tblGrid>
      <w:gridCol w:w="10432"/>
    </w:tblGrid>
    <w:tr w:rsidR="00C90C9F" w:rsidRPr="00A96675" w14:paraId="3DEC4284" w14:textId="77777777" w:rsidTr="00D340E9">
      <w:tc>
        <w:tcPr>
          <w:tcW w:w="5000" w:type="pct"/>
        </w:tcPr>
        <w:p w14:paraId="4EB1D945" w14:textId="77777777" w:rsidR="00C90C9F" w:rsidRPr="00D340E9" w:rsidRDefault="00C90C9F" w:rsidP="00D340E9">
          <w:pPr>
            <w:pStyle w:val="BodyText"/>
            <w:rPr>
              <w:b/>
              <w:color w:val="009CE5" w:themeColor="accent1"/>
            </w:rPr>
          </w:pPr>
          <w:r w:rsidRPr="00D340E9">
            <w:rPr>
              <w:b/>
              <w:color w:val="009CE5" w:themeColor="accent1"/>
            </w:rPr>
            <w:t>Customer Relations</w:t>
          </w:r>
        </w:p>
        <w:p w14:paraId="17E91B1D" w14:textId="77777777" w:rsidR="00C90C9F" w:rsidRPr="00A96675" w:rsidRDefault="00C90C9F" w:rsidP="00D340E9">
          <w:pPr>
            <w:pStyle w:val="BodyText"/>
          </w:pPr>
          <w:r w:rsidRPr="00A96675">
            <w:t>Tel +44 (0)1664 424000</w:t>
          </w:r>
          <w:r w:rsidRPr="00A96675">
            <w:br/>
            <w:t xml:space="preserve">creditsupport@tmhcc.com </w:t>
          </w:r>
          <w:r w:rsidRPr="00A96675">
            <w:br/>
            <w:t>tmhcc.com</w:t>
          </w:r>
        </w:p>
        <w:p w14:paraId="64C1E25A" w14:textId="77777777" w:rsidR="00C90C9F" w:rsidRPr="00A96675" w:rsidRDefault="00C90C9F" w:rsidP="00D340E9">
          <w:pPr>
            <w:pStyle w:val="BodyText"/>
          </w:pPr>
          <w:r w:rsidRPr="00A96675">
            <w:t>Member of the Association of British Insurers</w:t>
          </w:r>
        </w:p>
        <w:p w14:paraId="7D158716" w14:textId="77777777" w:rsidR="00C90C9F" w:rsidRPr="00D340E9" w:rsidRDefault="00C90C9F" w:rsidP="00D340E9">
          <w:pPr>
            <w:pStyle w:val="BodyText"/>
          </w:pPr>
          <w:r w:rsidRPr="00D340E9">
            <w:t>Tokio Marine HCC is a trading name of HCC International Insurance Company plc, which is a member of the Tokio Marine HCC Group of Companies. HCC International Insurance Company plc is authorised by the Prudential Regulation Authority (PRA) and regulated by the UK Financial Conduct Authority (FCA) and Prudential Regulation Authority. Registered in England and Wales No. 01575839 with registered office at 1 Aldgate, London EC3N 1RE  |  tmhcc.com</w:t>
          </w:r>
        </w:p>
      </w:tc>
    </w:tr>
  </w:tbl>
  <w:p w14:paraId="2BC08E9B" w14:textId="77777777" w:rsidR="00C90C9F" w:rsidRDefault="00C90C9F" w:rsidP="00E00D16">
    <w:pPr>
      <w:pStyle w:val="1ptspac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B3325" w14:textId="77777777" w:rsidR="004C4863" w:rsidRDefault="004C4863" w:rsidP="003146C2">
      <w:r>
        <w:separator/>
      </w:r>
    </w:p>
  </w:footnote>
  <w:footnote w:type="continuationSeparator" w:id="0">
    <w:p w14:paraId="4756AED9" w14:textId="77777777" w:rsidR="004C4863" w:rsidRDefault="004C4863" w:rsidP="003146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9AB6" w14:textId="77777777" w:rsidR="00C90C9F" w:rsidRPr="00691F07" w:rsidRDefault="00C90C9F" w:rsidP="00691F07">
    <w:pPr>
      <w:pStyle w:val="Header"/>
      <w:pBdr>
        <w:bottom w:val="single" w:sz="2" w:space="1" w:color="C79000"/>
      </w:pBdr>
      <w:jc w:val="right"/>
      <w:rPr>
        <w:color w:val="C79000"/>
      </w:rPr>
    </w:pPr>
    <w:r w:rsidRPr="00691F07">
      <w:rPr>
        <w:color w:val="C79000"/>
      </w:rPr>
      <w:t>Summary of cover  |  Commercial Combined &amp; Media</w:t>
    </w:r>
    <w:r>
      <w:rPr>
        <w:color w:val="C79000"/>
      </w:rP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CellMar>
        <w:top w:w="142" w:type="dxa"/>
      </w:tblCellMar>
      <w:tblLook w:val="04A0" w:firstRow="1" w:lastRow="0" w:firstColumn="1" w:lastColumn="0" w:noHBand="0" w:noVBand="1"/>
    </w:tblPr>
    <w:tblGrid>
      <w:gridCol w:w="10432"/>
    </w:tblGrid>
    <w:tr w:rsidR="00C90C9F" w14:paraId="7CE53013" w14:textId="77777777" w:rsidTr="004F5E0E">
      <w:trPr>
        <w:trHeight w:hRule="exact" w:val="1763"/>
      </w:trPr>
      <w:tc>
        <w:tcPr>
          <w:tcW w:w="5000" w:type="pct"/>
        </w:tcPr>
        <w:p w14:paraId="6F1111CF" w14:textId="77777777" w:rsidR="00C90C9F" w:rsidRDefault="00C90C9F" w:rsidP="004F5E0E">
          <w:pPr>
            <w:pStyle w:val="Header"/>
          </w:pPr>
          <w:r>
            <w:rPr>
              <w:noProof/>
              <w:lang w:val="en-GB" w:eastAsia="en-GB"/>
            </w:rPr>
            <w:drawing>
              <wp:anchor distT="0" distB="0" distL="114300" distR="114300" simplePos="0" relativeHeight="251658240" behindDoc="0" locked="0" layoutInCell="1" allowOverlap="1" wp14:anchorId="700ED399" wp14:editId="03D88893">
                <wp:simplePos x="0" y="0"/>
                <wp:positionH relativeFrom="margin">
                  <wp:posOffset>5628005</wp:posOffset>
                </wp:positionH>
                <wp:positionV relativeFrom="margin">
                  <wp:posOffset>635</wp:posOffset>
                </wp:positionV>
                <wp:extent cx="842645" cy="76835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_hcc_symbol_v_1_vector_4c.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2645" cy="768350"/>
                        </a:xfrm>
                        <a:prstGeom prst="rect">
                          <a:avLst/>
                        </a:prstGeom>
                      </pic:spPr>
                    </pic:pic>
                  </a:graphicData>
                </a:graphic>
                <wp14:sizeRelH relativeFrom="margin">
                  <wp14:pctWidth>0</wp14:pctWidth>
                </wp14:sizeRelH>
                <wp14:sizeRelV relativeFrom="margin">
                  <wp14:pctHeight>0</wp14:pctHeight>
                </wp14:sizeRelV>
              </wp:anchor>
            </w:drawing>
          </w:r>
        </w:p>
      </w:tc>
    </w:tr>
  </w:tbl>
  <w:p w14:paraId="7F724F18" w14:textId="77777777" w:rsidR="00C90C9F" w:rsidRDefault="00C90C9F" w:rsidP="00E00D16">
    <w:pPr>
      <w:pStyle w:val="1ptspac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882E32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9434328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2CAC98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D0666C0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349A7B18"/>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77C0FC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57E04C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590283C"/>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06A6502B"/>
    <w:multiLevelType w:val="multilevel"/>
    <w:tmpl w:val="47F6FD2C"/>
    <w:numStyleLink w:val="BorderedListBullet"/>
  </w:abstractNum>
  <w:abstractNum w:abstractNumId="9" w15:restartNumberingAfterBreak="0">
    <w:nsid w:val="0F00162F"/>
    <w:multiLevelType w:val="multilevel"/>
    <w:tmpl w:val="22881EE8"/>
    <w:styleLink w:val="ListNumber"/>
    <w:lvl w:ilvl="0">
      <w:start w:val="1"/>
      <w:numFmt w:val="decimal"/>
      <w:pStyle w:val="ListNumber0"/>
      <w:lvlText w:val="%1."/>
      <w:lvlJc w:val="left"/>
      <w:pPr>
        <w:ind w:left="454" w:hanging="454"/>
      </w:pPr>
      <w:rPr>
        <w:rFonts w:hint="default"/>
      </w:rPr>
    </w:lvl>
    <w:lvl w:ilvl="1">
      <w:start w:val="1"/>
      <w:numFmt w:val="decimal"/>
      <w:lvlText w:val="%1.%2"/>
      <w:lvlJc w:val="left"/>
      <w:pPr>
        <w:ind w:left="907" w:hanging="453"/>
      </w:pPr>
      <w:rPr>
        <w:rFonts w:hint="default"/>
      </w:rPr>
    </w:lvl>
    <w:lvl w:ilvl="2">
      <w:start w:val="1"/>
      <w:numFmt w:val="lowerLetter"/>
      <w:lvlText w:val="%3."/>
      <w:lvlJc w:val="left"/>
      <w:pPr>
        <w:ind w:left="907" w:hanging="453"/>
      </w:pPr>
      <w:rPr>
        <w:rFonts w:hint="default"/>
      </w:rPr>
    </w:lvl>
    <w:lvl w:ilvl="3">
      <w:start w:val="1"/>
      <w:numFmt w:val="lowerRoman"/>
      <w:lvlText w:val="%4."/>
      <w:lvlJc w:val="left"/>
      <w:pPr>
        <w:ind w:left="907" w:hanging="453"/>
      </w:pPr>
      <w:rPr>
        <w:rFonts w:hint="default"/>
      </w:rPr>
    </w:lvl>
    <w:lvl w:ilvl="4">
      <w:start w:val="1"/>
      <w:numFmt w:val="none"/>
      <w:lvlText w:val="%5"/>
      <w:lvlJc w:val="left"/>
      <w:pPr>
        <w:ind w:left="907" w:hanging="453"/>
      </w:pPr>
      <w:rPr>
        <w:rFonts w:hint="default"/>
      </w:rPr>
    </w:lvl>
    <w:lvl w:ilvl="5">
      <w:start w:val="1"/>
      <w:numFmt w:val="none"/>
      <w:lvlText w:val="%6"/>
      <w:lvlJc w:val="right"/>
      <w:pPr>
        <w:ind w:left="907" w:hanging="453"/>
      </w:pPr>
      <w:rPr>
        <w:rFonts w:hint="default"/>
      </w:rPr>
    </w:lvl>
    <w:lvl w:ilvl="6">
      <w:start w:val="1"/>
      <w:numFmt w:val="none"/>
      <w:lvlText w:val="%7"/>
      <w:lvlJc w:val="left"/>
      <w:pPr>
        <w:ind w:left="907" w:hanging="453"/>
      </w:pPr>
      <w:rPr>
        <w:rFonts w:hint="default"/>
      </w:rPr>
    </w:lvl>
    <w:lvl w:ilvl="7">
      <w:start w:val="1"/>
      <w:numFmt w:val="none"/>
      <w:lvlText w:val="%8"/>
      <w:lvlJc w:val="left"/>
      <w:pPr>
        <w:ind w:left="907" w:hanging="453"/>
      </w:pPr>
      <w:rPr>
        <w:rFonts w:hint="default"/>
      </w:rPr>
    </w:lvl>
    <w:lvl w:ilvl="8">
      <w:start w:val="1"/>
      <w:numFmt w:val="none"/>
      <w:lvlText w:val="%9"/>
      <w:lvlJc w:val="right"/>
      <w:pPr>
        <w:ind w:left="907" w:hanging="453"/>
      </w:pPr>
      <w:rPr>
        <w:rFonts w:hint="default"/>
      </w:rPr>
    </w:lvl>
  </w:abstractNum>
  <w:abstractNum w:abstractNumId="10" w15:restartNumberingAfterBreak="0">
    <w:nsid w:val="150800A2"/>
    <w:multiLevelType w:val="multilevel"/>
    <w:tmpl w:val="47F6FD2C"/>
    <w:styleLink w:val="BorderedListBullet"/>
    <w:lvl w:ilvl="0">
      <w:start w:val="1"/>
      <w:numFmt w:val="bullet"/>
      <w:pStyle w:val="BorderedListBullet0"/>
      <w:lvlText w:val="•"/>
      <w:lvlJc w:val="left"/>
      <w:pPr>
        <w:ind w:left="737" w:hanging="453"/>
      </w:pPr>
      <w:rPr>
        <w:rFonts w:ascii="Arial" w:hAnsi="Arial" w:hint="default"/>
      </w:rPr>
    </w:lvl>
    <w:lvl w:ilvl="1">
      <w:start w:val="1"/>
      <w:numFmt w:val="none"/>
      <w:lvlText w:val="%2"/>
      <w:lvlJc w:val="left"/>
      <w:pPr>
        <w:ind w:left="737" w:hanging="453"/>
      </w:pPr>
      <w:rPr>
        <w:rFonts w:hint="default"/>
      </w:rPr>
    </w:lvl>
    <w:lvl w:ilvl="2">
      <w:start w:val="1"/>
      <w:numFmt w:val="none"/>
      <w:lvlText w:val="%3"/>
      <w:lvlJc w:val="left"/>
      <w:pPr>
        <w:ind w:left="737" w:hanging="453"/>
      </w:pPr>
      <w:rPr>
        <w:rFonts w:hint="default"/>
      </w:rPr>
    </w:lvl>
    <w:lvl w:ilvl="3">
      <w:start w:val="1"/>
      <w:numFmt w:val="none"/>
      <w:lvlText w:val=""/>
      <w:lvlJc w:val="left"/>
      <w:pPr>
        <w:ind w:left="737" w:hanging="453"/>
      </w:pPr>
      <w:rPr>
        <w:rFonts w:hint="default"/>
      </w:rPr>
    </w:lvl>
    <w:lvl w:ilvl="4">
      <w:start w:val="1"/>
      <w:numFmt w:val="none"/>
      <w:lvlText w:val=""/>
      <w:lvlJc w:val="left"/>
      <w:pPr>
        <w:ind w:left="737" w:hanging="453"/>
      </w:pPr>
      <w:rPr>
        <w:rFonts w:hint="default"/>
      </w:rPr>
    </w:lvl>
    <w:lvl w:ilvl="5">
      <w:start w:val="1"/>
      <w:numFmt w:val="none"/>
      <w:lvlText w:val=""/>
      <w:lvlJc w:val="left"/>
      <w:pPr>
        <w:ind w:left="737" w:hanging="453"/>
      </w:pPr>
      <w:rPr>
        <w:rFonts w:hint="default"/>
      </w:rPr>
    </w:lvl>
    <w:lvl w:ilvl="6">
      <w:start w:val="1"/>
      <w:numFmt w:val="none"/>
      <w:lvlText w:val=""/>
      <w:lvlJc w:val="left"/>
      <w:pPr>
        <w:ind w:left="737" w:hanging="453"/>
      </w:pPr>
      <w:rPr>
        <w:rFonts w:hint="default"/>
      </w:rPr>
    </w:lvl>
    <w:lvl w:ilvl="7">
      <w:start w:val="1"/>
      <w:numFmt w:val="none"/>
      <w:lvlText w:val=""/>
      <w:lvlJc w:val="left"/>
      <w:pPr>
        <w:ind w:left="737" w:hanging="453"/>
      </w:pPr>
      <w:rPr>
        <w:rFonts w:hint="default"/>
      </w:rPr>
    </w:lvl>
    <w:lvl w:ilvl="8">
      <w:start w:val="1"/>
      <w:numFmt w:val="none"/>
      <w:lvlText w:val=""/>
      <w:lvlJc w:val="left"/>
      <w:pPr>
        <w:ind w:left="737" w:hanging="453"/>
      </w:pPr>
      <w:rPr>
        <w:rFonts w:hint="default"/>
      </w:rPr>
    </w:lvl>
  </w:abstractNum>
  <w:abstractNum w:abstractNumId="11" w15:restartNumberingAfterBreak="0">
    <w:nsid w:val="167F2EF8"/>
    <w:multiLevelType w:val="hybridMultilevel"/>
    <w:tmpl w:val="2DFEC96E"/>
    <w:lvl w:ilvl="0" w:tplc="4CC6DF46">
      <w:start w:val="1"/>
      <w:numFmt w:val="bullet"/>
      <w:pStyle w:val="ListBullet"/>
      <w:lvlText w:val=""/>
      <w:lvlJc w:val="left"/>
      <w:pPr>
        <w:ind w:left="720" w:hanging="360"/>
      </w:pPr>
      <w:rPr>
        <w:rFonts w:ascii="Symbol" w:hAnsi="Symbol" w:hint="default"/>
        <w:caps w:val="0"/>
        <w:strike w:val="0"/>
        <w:dstrike w:val="0"/>
        <w:vanish w:val="0"/>
        <w:color w:val="C79000"/>
        <w:u w:val="none" w:color="C79000"/>
        <w:vertAlign w:val="baseline"/>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0E753A9"/>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2151A2F"/>
    <w:multiLevelType w:val="multilevel"/>
    <w:tmpl w:val="08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396C2DF1"/>
    <w:multiLevelType w:val="multilevel"/>
    <w:tmpl w:val="0809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4C8B4431"/>
    <w:multiLevelType w:val="multilevel"/>
    <w:tmpl w:val="9132A8D8"/>
    <w:styleLink w:val="ListBody"/>
    <w:lvl w:ilvl="0">
      <w:start w:val="1"/>
      <w:numFmt w:val="bullet"/>
      <w:pStyle w:val="BodyBullet"/>
      <w:lvlText w:val="•"/>
      <w:lvlJc w:val="left"/>
      <w:pPr>
        <w:tabs>
          <w:tab w:val="num" w:pos="681"/>
        </w:tabs>
        <w:ind w:left="681" w:hanging="227"/>
      </w:pPr>
      <w:rPr>
        <w:rFonts w:ascii="Arial" w:hAnsi="Arial" w:hint="default"/>
      </w:rPr>
    </w:lvl>
    <w:lvl w:ilvl="1">
      <w:start w:val="1"/>
      <w:numFmt w:val="bullet"/>
      <w:lvlText w:val="•"/>
      <w:lvlJc w:val="left"/>
      <w:pPr>
        <w:tabs>
          <w:tab w:val="num" w:pos="908"/>
        </w:tabs>
        <w:ind w:left="908" w:hanging="227"/>
      </w:pPr>
      <w:rPr>
        <w:rFonts w:ascii="Arial" w:hAnsi="Arial" w:hint="default"/>
      </w:rPr>
    </w:lvl>
    <w:lvl w:ilvl="2">
      <w:start w:val="1"/>
      <w:numFmt w:val="bullet"/>
      <w:lvlText w:val="•"/>
      <w:lvlJc w:val="left"/>
      <w:pPr>
        <w:tabs>
          <w:tab w:val="num" w:pos="1134"/>
        </w:tabs>
        <w:ind w:left="1135" w:hanging="227"/>
      </w:pPr>
      <w:rPr>
        <w:rFonts w:ascii="Arial" w:hAnsi="Arial" w:hint="default"/>
      </w:rPr>
    </w:lvl>
    <w:lvl w:ilvl="3">
      <w:start w:val="1"/>
      <w:numFmt w:val="bullet"/>
      <w:lvlText w:val="•"/>
      <w:lvlJc w:val="left"/>
      <w:pPr>
        <w:tabs>
          <w:tab w:val="num" w:pos="1361"/>
        </w:tabs>
        <w:ind w:left="1362" w:hanging="227"/>
      </w:pPr>
      <w:rPr>
        <w:rFonts w:ascii="Arial" w:hAnsi="Arial" w:hint="default"/>
      </w:rPr>
    </w:lvl>
    <w:lvl w:ilvl="4">
      <w:start w:val="1"/>
      <w:numFmt w:val="bullet"/>
      <w:lvlText w:val="•"/>
      <w:lvlJc w:val="left"/>
      <w:pPr>
        <w:tabs>
          <w:tab w:val="num" w:pos="1588"/>
        </w:tabs>
        <w:ind w:left="1589" w:hanging="227"/>
      </w:pPr>
      <w:rPr>
        <w:rFonts w:ascii="Arial" w:hAnsi="Arial" w:hint="default"/>
      </w:rPr>
    </w:lvl>
    <w:lvl w:ilvl="5">
      <w:start w:val="1"/>
      <w:numFmt w:val="bullet"/>
      <w:lvlText w:val="•"/>
      <w:lvlJc w:val="left"/>
      <w:pPr>
        <w:tabs>
          <w:tab w:val="num" w:pos="1815"/>
        </w:tabs>
        <w:ind w:left="1816" w:hanging="227"/>
      </w:pPr>
      <w:rPr>
        <w:rFonts w:ascii="Arial" w:hAnsi="Arial" w:hint="default"/>
      </w:rPr>
    </w:lvl>
    <w:lvl w:ilvl="6">
      <w:start w:val="1"/>
      <w:numFmt w:val="bullet"/>
      <w:lvlText w:val="•"/>
      <w:lvlJc w:val="left"/>
      <w:pPr>
        <w:tabs>
          <w:tab w:val="num" w:pos="2042"/>
        </w:tabs>
        <w:ind w:left="2043" w:hanging="227"/>
      </w:pPr>
      <w:rPr>
        <w:rFonts w:ascii="Arial" w:hAnsi="Arial" w:hint="default"/>
      </w:rPr>
    </w:lvl>
    <w:lvl w:ilvl="7">
      <w:start w:val="1"/>
      <w:numFmt w:val="bullet"/>
      <w:lvlText w:val="•"/>
      <w:lvlJc w:val="left"/>
      <w:pPr>
        <w:tabs>
          <w:tab w:val="num" w:pos="2268"/>
        </w:tabs>
        <w:ind w:left="2270" w:hanging="227"/>
      </w:pPr>
      <w:rPr>
        <w:rFonts w:ascii="Arial" w:hAnsi="Arial" w:hint="default"/>
      </w:rPr>
    </w:lvl>
    <w:lvl w:ilvl="8">
      <w:start w:val="1"/>
      <w:numFmt w:val="bullet"/>
      <w:lvlText w:val="•"/>
      <w:lvlJc w:val="left"/>
      <w:pPr>
        <w:tabs>
          <w:tab w:val="num" w:pos="2495"/>
        </w:tabs>
        <w:ind w:left="2497" w:hanging="227"/>
      </w:pPr>
      <w:rPr>
        <w:rFonts w:ascii="Arial" w:hAnsi="Arial" w:hint="default"/>
      </w:rPr>
    </w:lvl>
  </w:abstractNum>
  <w:abstractNum w:abstractNumId="16" w15:restartNumberingAfterBreak="0">
    <w:nsid w:val="4D740FCD"/>
    <w:multiLevelType w:val="multilevel"/>
    <w:tmpl w:val="54F6BFE0"/>
    <w:styleLink w:val="BorderedList"/>
    <w:lvl w:ilvl="0">
      <w:start w:val="1"/>
      <w:numFmt w:val="decimal"/>
      <w:pStyle w:val="BorderedListNumber"/>
      <w:lvlText w:val="%1."/>
      <w:lvlJc w:val="left"/>
      <w:pPr>
        <w:ind w:left="737" w:hanging="453"/>
      </w:pPr>
      <w:rPr>
        <w:rFonts w:hint="default"/>
      </w:rPr>
    </w:lvl>
    <w:lvl w:ilvl="1">
      <w:start w:val="1"/>
      <w:numFmt w:val="none"/>
      <w:lvlText w:val=""/>
      <w:lvlJc w:val="left"/>
      <w:pPr>
        <w:ind w:left="454" w:hanging="454"/>
      </w:pPr>
      <w:rPr>
        <w:rFonts w:hint="default"/>
      </w:rPr>
    </w:lvl>
    <w:lvl w:ilvl="2">
      <w:start w:val="1"/>
      <w:numFmt w:val="none"/>
      <w:lvlText w:val=""/>
      <w:lvlJc w:val="left"/>
      <w:pPr>
        <w:ind w:left="454" w:hanging="454"/>
      </w:pPr>
      <w:rPr>
        <w:rFonts w:hint="default"/>
      </w:rPr>
    </w:lvl>
    <w:lvl w:ilvl="3">
      <w:start w:val="1"/>
      <w:numFmt w:val="none"/>
      <w:lvlText w:val=""/>
      <w:lvlJc w:val="left"/>
      <w:pPr>
        <w:ind w:left="454" w:hanging="454"/>
      </w:pPr>
      <w:rPr>
        <w:rFonts w:hint="default"/>
      </w:rPr>
    </w:lvl>
    <w:lvl w:ilvl="4">
      <w:start w:val="1"/>
      <w:numFmt w:val="none"/>
      <w:lvlText w:val=""/>
      <w:lvlJc w:val="left"/>
      <w:pPr>
        <w:ind w:left="454" w:hanging="454"/>
      </w:pPr>
      <w:rPr>
        <w:rFonts w:hint="default"/>
      </w:rPr>
    </w:lvl>
    <w:lvl w:ilvl="5">
      <w:start w:val="1"/>
      <w:numFmt w:val="none"/>
      <w:lvlText w:val=""/>
      <w:lvlJc w:val="left"/>
      <w:pPr>
        <w:ind w:left="454" w:hanging="454"/>
      </w:pPr>
      <w:rPr>
        <w:rFonts w:hint="default"/>
      </w:rPr>
    </w:lvl>
    <w:lvl w:ilvl="6">
      <w:start w:val="1"/>
      <w:numFmt w:val="none"/>
      <w:lvlText w:val=""/>
      <w:lvlJc w:val="left"/>
      <w:pPr>
        <w:ind w:left="454" w:hanging="454"/>
      </w:pPr>
      <w:rPr>
        <w:rFonts w:hint="default"/>
      </w:rPr>
    </w:lvl>
    <w:lvl w:ilvl="7">
      <w:start w:val="1"/>
      <w:numFmt w:val="none"/>
      <w:lvlText w:val=""/>
      <w:lvlJc w:val="left"/>
      <w:pPr>
        <w:ind w:left="454" w:hanging="454"/>
      </w:pPr>
      <w:rPr>
        <w:rFonts w:hint="default"/>
      </w:rPr>
    </w:lvl>
    <w:lvl w:ilvl="8">
      <w:start w:val="1"/>
      <w:numFmt w:val="none"/>
      <w:lvlText w:val=""/>
      <w:lvlJc w:val="left"/>
      <w:pPr>
        <w:ind w:left="454" w:hanging="454"/>
      </w:pPr>
      <w:rPr>
        <w:rFonts w:hint="default"/>
      </w:rPr>
    </w:lvl>
  </w:abstractNum>
  <w:abstractNum w:abstractNumId="17" w15:restartNumberingAfterBreak="0">
    <w:nsid w:val="4EA436C7"/>
    <w:multiLevelType w:val="multilevel"/>
    <w:tmpl w:val="54F6BFE0"/>
    <w:numStyleLink w:val="BorderedList"/>
  </w:abstractNum>
  <w:abstractNum w:abstractNumId="18" w15:restartNumberingAfterBreak="0">
    <w:nsid w:val="68542D7B"/>
    <w:multiLevelType w:val="multilevel"/>
    <w:tmpl w:val="B89CCCF2"/>
    <w:styleLink w:val="ListHeading"/>
    <w:lvl w:ilvl="0">
      <w:start w:val="1"/>
      <w:numFmt w:val="decimal"/>
      <w:pStyle w:val="ListHeading0"/>
      <w:lvlText w:val="%1."/>
      <w:lvlJc w:val="left"/>
      <w:pPr>
        <w:ind w:left="454" w:hanging="454"/>
      </w:pPr>
      <w:rPr>
        <w:rFonts w:hint="default"/>
      </w:rPr>
    </w:lvl>
    <w:lvl w:ilvl="1">
      <w:start w:val="1"/>
      <w:numFmt w:val="decimal"/>
      <w:pStyle w:val="ListParagraph"/>
      <w:lvlText w:val="%1.%2"/>
      <w:lvlJc w:val="left"/>
      <w:pPr>
        <w:ind w:left="454" w:hanging="454"/>
      </w:pPr>
      <w:rPr>
        <w:rFonts w:hint="default"/>
      </w:rPr>
    </w:lvl>
    <w:lvl w:ilvl="2">
      <w:start w:val="1"/>
      <w:numFmt w:val="lowerLetter"/>
      <w:lvlText w:val="%3."/>
      <w:lvlJc w:val="left"/>
      <w:pPr>
        <w:ind w:left="454" w:hanging="454"/>
      </w:pPr>
      <w:rPr>
        <w:rFonts w:hint="default"/>
        <w:color w:val="auto"/>
      </w:rPr>
    </w:lvl>
    <w:lvl w:ilvl="3">
      <w:start w:val="1"/>
      <w:numFmt w:val="lowerRoman"/>
      <w:lvlText w:val="%4."/>
      <w:lvlJc w:val="left"/>
      <w:pPr>
        <w:ind w:left="907" w:hanging="453"/>
      </w:pPr>
      <w:rPr>
        <w:rFonts w:hint="default"/>
        <w:color w:val="auto"/>
      </w:rPr>
    </w:lvl>
    <w:lvl w:ilvl="4">
      <w:start w:val="1"/>
      <w:numFmt w:val="none"/>
      <w:lvlText w:val=""/>
      <w:lvlJc w:val="left"/>
      <w:pPr>
        <w:ind w:left="1361" w:hanging="454"/>
      </w:pPr>
      <w:rPr>
        <w:rFonts w:hint="default"/>
        <w:color w:val="auto"/>
      </w:rPr>
    </w:lvl>
    <w:lvl w:ilvl="5">
      <w:start w:val="1"/>
      <w:numFmt w:val="none"/>
      <w:lvlText w:val=""/>
      <w:lvlJc w:val="left"/>
      <w:pPr>
        <w:ind w:left="1361" w:hanging="454"/>
      </w:pPr>
      <w:rPr>
        <w:rFonts w:hint="default"/>
        <w:color w:val="auto"/>
      </w:rPr>
    </w:lvl>
    <w:lvl w:ilvl="6">
      <w:start w:val="1"/>
      <w:numFmt w:val="none"/>
      <w:lvlText w:val=""/>
      <w:lvlJc w:val="left"/>
      <w:pPr>
        <w:ind w:left="1361" w:hanging="454"/>
      </w:pPr>
      <w:rPr>
        <w:rFonts w:hint="default"/>
        <w:color w:val="auto"/>
      </w:rPr>
    </w:lvl>
    <w:lvl w:ilvl="7">
      <w:start w:val="1"/>
      <w:numFmt w:val="none"/>
      <w:lvlText w:val=""/>
      <w:lvlJc w:val="left"/>
      <w:pPr>
        <w:ind w:left="1361" w:hanging="454"/>
      </w:pPr>
      <w:rPr>
        <w:rFonts w:hint="default"/>
        <w:color w:val="auto"/>
      </w:rPr>
    </w:lvl>
    <w:lvl w:ilvl="8">
      <w:start w:val="1"/>
      <w:numFmt w:val="none"/>
      <w:lvlText w:val=""/>
      <w:lvlJc w:val="left"/>
      <w:pPr>
        <w:ind w:left="1361" w:hanging="454"/>
      </w:pPr>
      <w:rPr>
        <w:rFonts w:hint="default"/>
        <w:color w:val="auto"/>
      </w:rPr>
    </w:lvl>
  </w:abstractNum>
  <w:abstractNum w:abstractNumId="19" w15:restartNumberingAfterBreak="0">
    <w:nsid w:val="7A322D15"/>
    <w:multiLevelType w:val="multilevel"/>
    <w:tmpl w:val="B89CCCF2"/>
    <w:numStyleLink w:val="ListHeading"/>
  </w:abstractNum>
  <w:abstractNum w:abstractNumId="20" w15:restartNumberingAfterBreak="0">
    <w:nsid w:val="7D614C07"/>
    <w:multiLevelType w:val="multilevel"/>
    <w:tmpl w:val="22881EE8"/>
    <w:numStyleLink w:val="ListNumber"/>
  </w:abstractNum>
  <w:num w:numId="1" w16cid:durableId="364520735">
    <w:abstractNumId w:val="9"/>
  </w:num>
  <w:num w:numId="2" w16cid:durableId="1678577032">
    <w:abstractNumId w:val="16"/>
  </w:num>
  <w:num w:numId="3" w16cid:durableId="141628283">
    <w:abstractNumId w:val="10"/>
  </w:num>
  <w:num w:numId="4" w16cid:durableId="1871532224">
    <w:abstractNumId w:val="15"/>
  </w:num>
  <w:num w:numId="5" w16cid:durableId="1281836893">
    <w:abstractNumId w:val="18"/>
  </w:num>
  <w:num w:numId="6" w16cid:durableId="1250578459">
    <w:abstractNumId w:val="12"/>
  </w:num>
  <w:num w:numId="7" w16cid:durableId="498813224">
    <w:abstractNumId w:val="14"/>
  </w:num>
  <w:num w:numId="8" w16cid:durableId="598178082">
    <w:abstractNumId w:val="13"/>
  </w:num>
  <w:num w:numId="9" w16cid:durableId="885485511">
    <w:abstractNumId w:val="15"/>
  </w:num>
  <w:num w:numId="10" w16cid:durableId="1229994622">
    <w:abstractNumId w:val="8"/>
  </w:num>
  <w:num w:numId="11" w16cid:durableId="693582254">
    <w:abstractNumId w:val="17"/>
  </w:num>
  <w:num w:numId="12" w16cid:durableId="621305025">
    <w:abstractNumId w:val="7"/>
  </w:num>
  <w:num w:numId="13" w16cid:durableId="1750807911">
    <w:abstractNumId w:val="6"/>
  </w:num>
  <w:num w:numId="14" w16cid:durableId="957297005">
    <w:abstractNumId w:val="5"/>
  </w:num>
  <w:num w:numId="15" w16cid:durableId="1183085402">
    <w:abstractNumId w:val="4"/>
  </w:num>
  <w:num w:numId="16" w16cid:durableId="53748522">
    <w:abstractNumId w:val="3"/>
  </w:num>
  <w:num w:numId="17" w16cid:durableId="1616868905">
    <w:abstractNumId w:val="2"/>
  </w:num>
  <w:num w:numId="18" w16cid:durableId="145635254">
    <w:abstractNumId w:val="1"/>
  </w:num>
  <w:num w:numId="19" w16cid:durableId="430244719">
    <w:abstractNumId w:val="0"/>
  </w:num>
  <w:num w:numId="20" w16cid:durableId="1923492622">
    <w:abstractNumId w:val="19"/>
    <w:lvlOverride w:ilvl="0">
      <w:lvl w:ilvl="0">
        <w:start w:val="1"/>
        <w:numFmt w:val="decimal"/>
        <w:pStyle w:val="ListHeading0"/>
        <w:lvlText w:val="%1."/>
        <w:lvlJc w:val="left"/>
        <w:pPr>
          <w:ind w:left="454" w:hanging="454"/>
        </w:pPr>
        <w:rPr>
          <w:rFonts w:hint="default"/>
        </w:rPr>
      </w:lvl>
    </w:lvlOverride>
    <w:lvlOverride w:ilvl="1">
      <w:lvl w:ilvl="1">
        <w:start w:val="1"/>
        <w:numFmt w:val="decimal"/>
        <w:pStyle w:val="ListParagraph"/>
        <w:lvlText w:val="%1.%2"/>
        <w:lvlJc w:val="left"/>
        <w:pPr>
          <w:ind w:left="454" w:hanging="454"/>
        </w:pPr>
        <w:rPr>
          <w:rFonts w:hint="default"/>
        </w:rPr>
      </w:lvl>
    </w:lvlOverride>
    <w:lvlOverride w:ilvl="2">
      <w:lvl w:ilvl="2">
        <w:start w:val="1"/>
        <w:numFmt w:val="lowerLetter"/>
        <w:lvlText w:val="%3."/>
        <w:lvlJc w:val="left"/>
        <w:pPr>
          <w:ind w:left="454" w:hanging="454"/>
        </w:pPr>
        <w:rPr>
          <w:rFonts w:hint="default"/>
          <w:color w:val="auto"/>
        </w:rPr>
      </w:lvl>
    </w:lvlOverride>
    <w:lvlOverride w:ilvl="3">
      <w:lvl w:ilvl="3">
        <w:start w:val="1"/>
        <w:numFmt w:val="lowerRoman"/>
        <w:lvlText w:val="%4."/>
        <w:lvlJc w:val="left"/>
        <w:pPr>
          <w:ind w:left="907" w:hanging="453"/>
        </w:pPr>
        <w:rPr>
          <w:rFonts w:hint="default"/>
          <w:color w:val="auto"/>
        </w:rPr>
      </w:lvl>
    </w:lvlOverride>
    <w:lvlOverride w:ilvl="4">
      <w:lvl w:ilvl="4">
        <w:start w:val="1"/>
        <w:numFmt w:val="none"/>
        <w:lvlText w:val=""/>
        <w:lvlJc w:val="left"/>
        <w:pPr>
          <w:ind w:left="1361" w:hanging="454"/>
        </w:pPr>
        <w:rPr>
          <w:rFonts w:hint="default"/>
          <w:color w:val="auto"/>
        </w:rPr>
      </w:lvl>
    </w:lvlOverride>
    <w:lvlOverride w:ilvl="5">
      <w:lvl w:ilvl="5">
        <w:start w:val="1"/>
        <w:numFmt w:val="none"/>
        <w:lvlText w:val=""/>
        <w:lvlJc w:val="left"/>
        <w:pPr>
          <w:ind w:left="1361" w:hanging="454"/>
        </w:pPr>
        <w:rPr>
          <w:rFonts w:hint="default"/>
          <w:color w:val="auto"/>
        </w:rPr>
      </w:lvl>
    </w:lvlOverride>
    <w:lvlOverride w:ilvl="6">
      <w:lvl w:ilvl="6">
        <w:start w:val="1"/>
        <w:numFmt w:val="none"/>
        <w:lvlText w:val=""/>
        <w:lvlJc w:val="left"/>
        <w:pPr>
          <w:ind w:left="1361" w:hanging="454"/>
        </w:pPr>
        <w:rPr>
          <w:rFonts w:hint="default"/>
          <w:color w:val="auto"/>
        </w:rPr>
      </w:lvl>
    </w:lvlOverride>
    <w:lvlOverride w:ilvl="7">
      <w:lvl w:ilvl="7">
        <w:start w:val="1"/>
        <w:numFmt w:val="none"/>
        <w:lvlText w:val=""/>
        <w:lvlJc w:val="left"/>
        <w:pPr>
          <w:ind w:left="1361" w:hanging="454"/>
        </w:pPr>
        <w:rPr>
          <w:rFonts w:hint="default"/>
          <w:color w:val="auto"/>
        </w:rPr>
      </w:lvl>
    </w:lvlOverride>
    <w:lvlOverride w:ilvl="8">
      <w:lvl w:ilvl="8">
        <w:start w:val="1"/>
        <w:numFmt w:val="none"/>
        <w:lvlText w:val=""/>
        <w:lvlJc w:val="left"/>
        <w:pPr>
          <w:ind w:left="1361" w:hanging="454"/>
        </w:pPr>
        <w:rPr>
          <w:rFonts w:hint="default"/>
          <w:color w:val="auto"/>
        </w:rPr>
      </w:lvl>
    </w:lvlOverride>
  </w:num>
  <w:num w:numId="21" w16cid:durableId="606888215">
    <w:abstractNumId w:val="20"/>
    <w:lvlOverride w:ilvl="0">
      <w:lvl w:ilvl="0">
        <w:start w:val="1"/>
        <w:numFmt w:val="decimal"/>
        <w:pStyle w:val="ListNumber0"/>
        <w:lvlText w:val="%1."/>
        <w:lvlJc w:val="left"/>
        <w:pPr>
          <w:ind w:left="454" w:hanging="454"/>
        </w:pPr>
        <w:rPr>
          <w:rFonts w:hint="default"/>
          <w:b w:val="0"/>
          <w:color w:val="0070C0"/>
          <w:sz w:val="16"/>
          <w:szCs w:val="16"/>
        </w:rPr>
      </w:lvl>
    </w:lvlOverride>
  </w:num>
  <w:num w:numId="22" w16cid:durableId="158083544">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20"/>
  <w:characterSpacingControl w:val="doNotCompress"/>
  <w:hdrShapeDefaults>
    <o:shapedefaults v:ext="edit" spidmax="2050"/>
  </w:hdrShapeDefaults>
  <w:footnotePr>
    <w:footnote w:id="-1"/>
    <w:footnote w:id="0"/>
  </w:footnotePr>
  <w:endnotePr>
    <w:endnote w:id="-1"/>
    <w:endnote w:id="0"/>
  </w:endnotePr>
  <w:compat>
    <w:suppressTopSpacing/>
    <w:suppressSpBfAfterPgB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F0250"/>
    <w:rsid w:val="00016510"/>
    <w:rsid w:val="00047DF5"/>
    <w:rsid w:val="000809A3"/>
    <w:rsid w:val="00091FAC"/>
    <w:rsid w:val="000E342B"/>
    <w:rsid w:val="00105075"/>
    <w:rsid w:val="00135076"/>
    <w:rsid w:val="00140262"/>
    <w:rsid w:val="00197E10"/>
    <w:rsid w:val="001B1BDF"/>
    <w:rsid w:val="001B2A31"/>
    <w:rsid w:val="001C276C"/>
    <w:rsid w:val="001D60FD"/>
    <w:rsid w:val="002038D4"/>
    <w:rsid w:val="002271D5"/>
    <w:rsid w:val="0023125F"/>
    <w:rsid w:val="00235959"/>
    <w:rsid w:val="00264252"/>
    <w:rsid w:val="002E0C41"/>
    <w:rsid w:val="003146C2"/>
    <w:rsid w:val="0032026E"/>
    <w:rsid w:val="00334778"/>
    <w:rsid w:val="00364F8A"/>
    <w:rsid w:val="003652B5"/>
    <w:rsid w:val="00372227"/>
    <w:rsid w:val="00393113"/>
    <w:rsid w:val="003C7575"/>
    <w:rsid w:val="003E1F9A"/>
    <w:rsid w:val="00423900"/>
    <w:rsid w:val="00430D5C"/>
    <w:rsid w:val="00440414"/>
    <w:rsid w:val="00441EEC"/>
    <w:rsid w:val="0046055D"/>
    <w:rsid w:val="004966A4"/>
    <w:rsid w:val="004A2C67"/>
    <w:rsid w:val="004C4863"/>
    <w:rsid w:val="004F5E0E"/>
    <w:rsid w:val="00516E46"/>
    <w:rsid w:val="00522B52"/>
    <w:rsid w:val="005A31D6"/>
    <w:rsid w:val="005B0892"/>
    <w:rsid w:val="005D3B5C"/>
    <w:rsid w:val="005D6BD6"/>
    <w:rsid w:val="005E066B"/>
    <w:rsid w:val="005F6B30"/>
    <w:rsid w:val="00607A8E"/>
    <w:rsid w:val="006447F0"/>
    <w:rsid w:val="00651C3B"/>
    <w:rsid w:val="006637EF"/>
    <w:rsid w:val="00667F11"/>
    <w:rsid w:val="00691F07"/>
    <w:rsid w:val="006D7DAA"/>
    <w:rsid w:val="006F4D75"/>
    <w:rsid w:val="006F6DCC"/>
    <w:rsid w:val="007017A1"/>
    <w:rsid w:val="007130BC"/>
    <w:rsid w:val="00716D15"/>
    <w:rsid w:val="00744F7B"/>
    <w:rsid w:val="007510E3"/>
    <w:rsid w:val="00775114"/>
    <w:rsid w:val="0077585E"/>
    <w:rsid w:val="00793374"/>
    <w:rsid w:val="007D0D0A"/>
    <w:rsid w:val="007F0250"/>
    <w:rsid w:val="0081485A"/>
    <w:rsid w:val="00815B6F"/>
    <w:rsid w:val="00842848"/>
    <w:rsid w:val="00847C69"/>
    <w:rsid w:val="00862477"/>
    <w:rsid w:val="00864F12"/>
    <w:rsid w:val="00866AA6"/>
    <w:rsid w:val="008745D3"/>
    <w:rsid w:val="0087709C"/>
    <w:rsid w:val="00880C81"/>
    <w:rsid w:val="008827A3"/>
    <w:rsid w:val="00884666"/>
    <w:rsid w:val="00890E4D"/>
    <w:rsid w:val="00895FF6"/>
    <w:rsid w:val="008A160D"/>
    <w:rsid w:val="008B577C"/>
    <w:rsid w:val="008E6441"/>
    <w:rsid w:val="009061AA"/>
    <w:rsid w:val="00963771"/>
    <w:rsid w:val="00986270"/>
    <w:rsid w:val="009A39CF"/>
    <w:rsid w:val="009B59BC"/>
    <w:rsid w:val="009C6189"/>
    <w:rsid w:val="009D0AE8"/>
    <w:rsid w:val="009F2677"/>
    <w:rsid w:val="00A031E4"/>
    <w:rsid w:val="00A10C23"/>
    <w:rsid w:val="00A22AEA"/>
    <w:rsid w:val="00A323CF"/>
    <w:rsid w:val="00A61BAC"/>
    <w:rsid w:val="00A6768A"/>
    <w:rsid w:val="00A82D79"/>
    <w:rsid w:val="00A85A4D"/>
    <w:rsid w:val="00A96675"/>
    <w:rsid w:val="00AA1FA2"/>
    <w:rsid w:val="00AE6738"/>
    <w:rsid w:val="00AF64ED"/>
    <w:rsid w:val="00B24383"/>
    <w:rsid w:val="00B25CDC"/>
    <w:rsid w:val="00B67476"/>
    <w:rsid w:val="00B7083A"/>
    <w:rsid w:val="00B82121"/>
    <w:rsid w:val="00B85811"/>
    <w:rsid w:val="00BA2AFD"/>
    <w:rsid w:val="00BC2B9E"/>
    <w:rsid w:val="00BC3F30"/>
    <w:rsid w:val="00BD2F7B"/>
    <w:rsid w:val="00BF6D9A"/>
    <w:rsid w:val="00C02C48"/>
    <w:rsid w:val="00C07E94"/>
    <w:rsid w:val="00C13ECD"/>
    <w:rsid w:val="00C42BF0"/>
    <w:rsid w:val="00C512F4"/>
    <w:rsid w:val="00C52127"/>
    <w:rsid w:val="00C57D89"/>
    <w:rsid w:val="00C70566"/>
    <w:rsid w:val="00C86161"/>
    <w:rsid w:val="00C90C9F"/>
    <w:rsid w:val="00CB21D7"/>
    <w:rsid w:val="00CB5CDB"/>
    <w:rsid w:val="00CC1CE5"/>
    <w:rsid w:val="00CE256D"/>
    <w:rsid w:val="00CF0EB6"/>
    <w:rsid w:val="00CF14C6"/>
    <w:rsid w:val="00D06B2A"/>
    <w:rsid w:val="00D340E9"/>
    <w:rsid w:val="00D50666"/>
    <w:rsid w:val="00D64559"/>
    <w:rsid w:val="00D73202"/>
    <w:rsid w:val="00D77FE0"/>
    <w:rsid w:val="00D81499"/>
    <w:rsid w:val="00D8579B"/>
    <w:rsid w:val="00DA3270"/>
    <w:rsid w:val="00DA4EDD"/>
    <w:rsid w:val="00DB4539"/>
    <w:rsid w:val="00DD17BD"/>
    <w:rsid w:val="00DD3F32"/>
    <w:rsid w:val="00E00D16"/>
    <w:rsid w:val="00E24929"/>
    <w:rsid w:val="00E3114C"/>
    <w:rsid w:val="00E33059"/>
    <w:rsid w:val="00E6328D"/>
    <w:rsid w:val="00E732D8"/>
    <w:rsid w:val="00E744BD"/>
    <w:rsid w:val="00E75E61"/>
    <w:rsid w:val="00E80C00"/>
    <w:rsid w:val="00E877B8"/>
    <w:rsid w:val="00E9285A"/>
    <w:rsid w:val="00EA1212"/>
    <w:rsid w:val="00EC33C5"/>
    <w:rsid w:val="00ED706F"/>
    <w:rsid w:val="00EE667D"/>
    <w:rsid w:val="00F43274"/>
    <w:rsid w:val="00F62A7B"/>
    <w:rsid w:val="00F7241C"/>
    <w:rsid w:val="00F7431C"/>
    <w:rsid w:val="00F77839"/>
    <w:rsid w:val="00F851FB"/>
    <w:rsid w:val="00F86840"/>
    <w:rsid w:val="00FD691E"/>
    <w:rsid w:val="00FE0ADC"/>
    <w:rsid w:val="00FE13F1"/>
    <w:rsid w:val="00FE502B"/>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8E1B7D"/>
  <w15:docId w15:val="{E329E0F9-EFBF-473A-8D6A-677525A9F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lsdException w:name="List" w:semiHidden="1" w:unhideWhenUsed="1"/>
    <w:lsdException w:name="List Bullet" w:semiHidden="1" w:uiPriority="4" w:unhideWhenUsed="1" w:qFormat="1"/>
    <w:lsdException w:name="List Number" w:semiHidden="1" w:uiPriority="3" w:unhideWhenUsed="1" w:qFormat="1"/>
    <w:lsdException w:name="List 2" w:semiHidden="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5" w:unhideWhenUsed="1" w:qFormat="1"/>
    <w:lsdException w:name="List Continue" w:semiHidden="1" w:unhideWhenUsed="1"/>
    <w:lsdException w:name="List Continue 2" w:semiHidden="1" w:unhideWhenUsed="1"/>
    <w:lsdException w:name="List Continue 3" w:semiHidden="1" w:unhideWhenUsed="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semiHidden/>
    <w:rsid w:val="00FE502B"/>
    <w:pPr>
      <w:keepNext/>
      <w:keepLines/>
      <w:spacing w:line="200" w:lineRule="exact"/>
    </w:pPr>
    <w:rPr>
      <w:rFonts w:ascii="Arial" w:eastAsia="Arial" w:hAnsi="Arial" w:cs="Times New Roman"/>
      <w:sz w:val="15"/>
      <w:szCs w:val="22"/>
      <w:lang w:val="en-US"/>
    </w:rPr>
  </w:style>
  <w:style w:type="paragraph" w:styleId="Heading1">
    <w:name w:val="heading 1"/>
    <w:basedOn w:val="BaseHeading"/>
    <w:next w:val="ListHeading0"/>
    <w:link w:val="Heading1Char"/>
    <w:qFormat/>
    <w:rsid w:val="00A22AEA"/>
    <w:pPr>
      <w:spacing w:before="480" w:after="240" w:line="240" w:lineRule="auto"/>
      <w:outlineLvl w:val="0"/>
    </w:pPr>
    <w:rPr>
      <w:rFonts w:eastAsiaTheme="majorEastAsia" w:cstheme="majorBidi"/>
      <w:bCs/>
      <w:color w:val="009CE5" w:themeColor="accent1"/>
      <w:sz w:val="44"/>
      <w:szCs w:val="28"/>
    </w:rPr>
  </w:style>
  <w:style w:type="paragraph" w:styleId="Heading2">
    <w:name w:val="heading 2"/>
    <w:basedOn w:val="BaseHeading"/>
    <w:next w:val="BodyText"/>
    <w:link w:val="Heading2Char"/>
    <w:qFormat/>
    <w:rsid w:val="004F5E0E"/>
    <w:pPr>
      <w:spacing w:before="240"/>
      <w:outlineLvl w:val="1"/>
    </w:pPr>
    <w:rPr>
      <w:rFonts w:eastAsiaTheme="majorEastAsia" w:cstheme="majorBidi"/>
      <w:bCs/>
      <w:color w:val="009CE5" w:themeColor="accent1"/>
      <w:sz w:val="22"/>
      <w:szCs w:val="26"/>
    </w:rPr>
  </w:style>
  <w:style w:type="paragraph" w:styleId="Heading3">
    <w:name w:val="heading 3"/>
    <w:basedOn w:val="Normal"/>
    <w:next w:val="Normal"/>
    <w:link w:val="Heading3Char"/>
    <w:uiPriority w:val="9"/>
    <w:semiHidden/>
    <w:qFormat/>
    <w:rsid w:val="004F5E0E"/>
    <w:pPr>
      <w:spacing w:before="200"/>
      <w:outlineLvl w:val="2"/>
    </w:pPr>
    <w:rPr>
      <w:rFonts w:asciiTheme="majorHAnsi" w:eastAsiaTheme="majorEastAsia" w:hAnsiTheme="majorHAnsi" w:cstheme="majorBidi"/>
      <w:b/>
      <w:bCs/>
      <w:color w:val="009CE5" w:themeColor="accent1"/>
    </w:rPr>
  </w:style>
  <w:style w:type="paragraph" w:styleId="Heading4">
    <w:name w:val="heading 4"/>
    <w:basedOn w:val="Normal"/>
    <w:next w:val="Normal"/>
    <w:link w:val="Heading4Char"/>
    <w:uiPriority w:val="9"/>
    <w:semiHidden/>
    <w:qFormat/>
    <w:rsid w:val="004F5E0E"/>
    <w:pPr>
      <w:spacing w:before="200"/>
      <w:outlineLvl w:val="3"/>
    </w:pPr>
    <w:rPr>
      <w:rFonts w:asciiTheme="majorHAnsi" w:eastAsiaTheme="majorEastAsia" w:hAnsiTheme="majorHAnsi" w:cstheme="majorBidi"/>
      <w:b/>
      <w:bCs/>
      <w:i/>
      <w:iCs/>
      <w:color w:val="009CE5" w:themeColor="accent1"/>
    </w:rPr>
  </w:style>
  <w:style w:type="paragraph" w:styleId="Heading5">
    <w:name w:val="heading 5"/>
    <w:basedOn w:val="Normal"/>
    <w:next w:val="Normal"/>
    <w:link w:val="Heading5Char"/>
    <w:uiPriority w:val="9"/>
    <w:semiHidden/>
    <w:qFormat/>
    <w:rsid w:val="004F5E0E"/>
    <w:pPr>
      <w:spacing w:before="200"/>
      <w:outlineLvl w:val="4"/>
    </w:pPr>
    <w:rPr>
      <w:rFonts w:asciiTheme="majorHAnsi" w:eastAsiaTheme="majorEastAsia" w:hAnsiTheme="majorHAnsi" w:cstheme="majorBidi"/>
      <w:color w:val="004D72" w:themeColor="accent1" w:themeShade="7F"/>
    </w:rPr>
  </w:style>
  <w:style w:type="paragraph" w:styleId="Heading6">
    <w:name w:val="heading 6"/>
    <w:basedOn w:val="Normal"/>
    <w:next w:val="Normal"/>
    <w:link w:val="Heading6Char"/>
    <w:uiPriority w:val="9"/>
    <w:semiHidden/>
    <w:qFormat/>
    <w:rsid w:val="004F5E0E"/>
    <w:pPr>
      <w:spacing w:before="200"/>
      <w:outlineLvl w:val="5"/>
    </w:pPr>
    <w:rPr>
      <w:rFonts w:asciiTheme="majorHAnsi" w:eastAsiaTheme="majorEastAsia" w:hAnsiTheme="majorHAnsi" w:cstheme="majorBidi"/>
      <w:i/>
      <w:iCs/>
      <w:color w:val="004D72" w:themeColor="accent1" w:themeShade="7F"/>
    </w:rPr>
  </w:style>
  <w:style w:type="paragraph" w:styleId="Heading7">
    <w:name w:val="heading 7"/>
    <w:basedOn w:val="Normal"/>
    <w:next w:val="Normal"/>
    <w:link w:val="Heading7Char"/>
    <w:uiPriority w:val="9"/>
    <w:semiHidden/>
    <w:qFormat/>
    <w:rsid w:val="004F5E0E"/>
    <w:p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qFormat/>
    <w:rsid w:val="004F5E0E"/>
    <w:p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semiHidden/>
    <w:qFormat/>
    <w:rsid w:val="004F5E0E"/>
    <w:p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aseHeading"/>
    <w:next w:val="Subtitle"/>
    <w:link w:val="TitleChar"/>
    <w:uiPriority w:val="10"/>
    <w:qFormat/>
    <w:rsid w:val="004F5E0E"/>
    <w:pPr>
      <w:pBdr>
        <w:top w:val="single" w:sz="48" w:space="12" w:color="009CE5" w:themeColor="text2"/>
        <w:left w:val="single" w:sz="48" w:space="31" w:color="009CE5" w:themeColor="text2"/>
        <w:bottom w:val="single" w:sz="48" w:space="12" w:color="009CE5" w:themeColor="text2"/>
        <w:right w:val="single" w:sz="48" w:space="31" w:color="009CE5" w:themeColor="text2"/>
      </w:pBdr>
      <w:shd w:val="clear" w:color="auto" w:fill="009CE5" w:themeFill="accent1"/>
      <w:spacing w:after="1080" w:line="240" w:lineRule="auto"/>
      <w:contextualSpacing/>
      <w:jc w:val="right"/>
    </w:pPr>
    <w:rPr>
      <w:rFonts w:eastAsiaTheme="majorEastAsia" w:cstheme="majorBidi"/>
      <w:color w:val="FFFFFF" w:themeColor="background2"/>
      <w:sz w:val="72"/>
      <w:szCs w:val="52"/>
    </w:rPr>
  </w:style>
  <w:style w:type="character" w:customStyle="1" w:styleId="TitleChar">
    <w:name w:val="Title Char"/>
    <w:basedOn w:val="DefaultParagraphFont"/>
    <w:link w:val="Title"/>
    <w:uiPriority w:val="10"/>
    <w:rsid w:val="004F5E0E"/>
    <w:rPr>
      <w:rFonts w:asciiTheme="majorHAnsi" w:eastAsiaTheme="majorEastAsia" w:hAnsiTheme="majorHAnsi" w:cstheme="majorBidi"/>
      <w:color w:val="FFFFFF" w:themeColor="background2"/>
      <w:sz w:val="72"/>
      <w:szCs w:val="52"/>
      <w:shd w:val="clear" w:color="auto" w:fill="009CE5" w:themeFill="accent1"/>
    </w:rPr>
  </w:style>
  <w:style w:type="paragraph" w:styleId="Subtitle">
    <w:name w:val="Subtitle"/>
    <w:basedOn w:val="BaseHeading"/>
    <w:link w:val="SubtitleChar"/>
    <w:uiPriority w:val="11"/>
    <w:qFormat/>
    <w:rsid w:val="004F5E0E"/>
    <w:pPr>
      <w:numPr>
        <w:ilvl w:val="1"/>
      </w:numPr>
      <w:spacing w:line="228" w:lineRule="auto"/>
      <w:jc w:val="right"/>
    </w:pPr>
    <w:rPr>
      <w:rFonts w:eastAsiaTheme="majorEastAsia" w:cstheme="majorBidi"/>
      <w:iCs/>
      <w:color w:val="C79000" w:themeColor="accent2"/>
      <w:sz w:val="52"/>
      <w:szCs w:val="24"/>
    </w:rPr>
  </w:style>
  <w:style w:type="character" w:customStyle="1" w:styleId="SubtitleChar">
    <w:name w:val="Subtitle Char"/>
    <w:basedOn w:val="DefaultParagraphFont"/>
    <w:link w:val="Subtitle"/>
    <w:uiPriority w:val="11"/>
    <w:rsid w:val="004F5E0E"/>
    <w:rPr>
      <w:rFonts w:asciiTheme="majorHAnsi" w:eastAsiaTheme="majorEastAsia" w:hAnsiTheme="majorHAnsi" w:cstheme="majorBidi"/>
      <w:iCs/>
      <w:color w:val="C79000" w:themeColor="accent2"/>
      <w:sz w:val="52"/>
      <w:szCs w:val="24"/>
    </w:rPr>
  </w:style>
  <w:style w:type="paragraph" w:styleId="Header">
    <w:name w:val="header"/>
    <w:basedOn w:val="Normal"/>
    <w:link w:val="HeaderChar"/>
    <w:uiPriority w:val="99"/>
    <w:rsid w:val="004F5E0E"/>
    <w:pPr>
      <w:spacing w:line="240" w:lineRule="auto"/>
    </w:pPr>
  </w:style>
  <w:style w:type="character" w:customStyle="1" w:styleId="HeaderChar">
    <w:name w:val="Header Char"/>
    <w:basedOn w:val="DefaultParagraphFont"/>
    <w:link w:val="Header"/>
    <w:uiPriority w:val="99"/>
    <w:rsid w:val="004F5E0E"/>
    <w:rPr>
      <w:rFonts w:ascii="Arial" w:eastAsia="Arial" w:hAnsi="Arial" w:cs="Times New Roman"/>
      <w:sz w:val="15"/>
      <w:szCs w:val="22"/>
      <w:lang w:val="en-US"/>
    </w:rPr>
  </w:style>
  <w:style w:type="paragraph" w:styleId="Footer">
    <w:name w:val="footer"/>
    <w:basedOn w:val="BaseText"/>
    <w:link w:val="FooterChar"/>
    <w:rsid w:val="004F5E0E"/>
    <w:pPr>
      <w:tabs>
        <w:tab w:val="right" w:pos="3289"/>
      </w:tabs>
      <w:spacing w:line="240" w:lineRule="auto"/>
    </w:pPr>
    <w:rPr>
      <w:color w:val="808080" w:themeColor="background1" w:themeShade="80"/>
      <w:sz w:val="16"/>
    </w:rPr>
  </w:style>
  <w:style w:type="character" w:customStyle="1" w:styleId="FooterChar">
    <w:name w:val="Footer Char"/>
    <w:basedOn w:val="DefaultParagraphFont"/>
    <w:link w:val="Footer"/>
    <w:rsid w:val="004F5E0E"/>
    <w:rPr>
      <w:color w:val="808080" w:themeColor="background1" w:themeShade="80"/>
      <w:sz w:val="16"/>
    </w:rPr>
  </w:style>
  <w:style w:type="paragraph" w:customStyle="1" w:styleId="BaseStyle">
    <w:name w:val="___Base Style"/>
    <w:semiHidden/>
    <w:rsid w:val="004F5E0E"/>
    <w:pPr>
      <w:spacing w:after="0" w:line="266" w:lineRule="auto"/>
    </w:pPr>
    <w:rPr>
      <w:sz w:val="18"/>
    </w:rPr>
  </w:style>
  <w:style w:type="paragraph" w:customStyle="1" w:styleId="BaseTable">
    <w:name w:val="___Base Table"/>
    <w:semiHidden/>
    <w:rsid w:val="004F5E0E"/>
  </w:style>
  <w:style w:type="paragraph" w:customStyle="1" w:styleId="1ptspacer">
    <w:name w:val="__1pt spacer"/>
    <w:basedOn w:val="BaseStyle"/>
    <w:next w:val="BodyText"/>
    <w:semiHidden/>
    <w:rsid w:val="004F5E0E"/>
    <w:pPr>
      <w:spacing w:line="20" w:lineRule="exact"/>
    </w:pPr>
    <w:rPr>
      <w:color w:val="FF0000"/>
      <w:sz w:val="2"/>
    </w:rPr>
  </w:style>
  <w:style w:type="paragraph" w:styleId="BodyText">
    <w:name w:val="Body Text"/>
    <w:basedOn w:val="BaseText"/>
    <w:link w:val="BodyTextChar"/>
    <w:uiPriority w:val="5"/>
    <w:qFormat/>
    <w:rsid w:val="004F5E0E"/>
    <w:pPr>
      <w:spacing w:before="120"/>
    </w:pPr>
  </w:style>
  <w:style w:type="character" w:customStyle="1" w:styleId="BodyTextChar">
    <w:name w:val="Body Text Char"/>
    <w:basedOn w:val="DefaultParagraphFont"/>
    <w:link w:val="BodyText"/>
    <w:uiPriority w:val="5"/>
    <w:rsid w:val="00FE502B"/>
    <w:rPr>
      <w:sz w:val="18"/>
    </w:rPr>
  </w:style>
  <w:style w:type="paragraph" w:customStyle="1" w:styleId="BaseHeading">
    <w:name w:val="__Base Heading"/>
    <w:basedOn w:val="BaseStyle"/>
    <w:next w:val="BodyText"/>
    <w:semiHidden/>
    <w:rsid w:val="004F5E0E"/>
    <w:pPr>
      <w:keepNext/>
      <w:keepLines/>
    </w:pPr>
    <w:rPr>
      <w:rFonts w:asciiTheme="majorHAnsi" w:hAnsiTheme="majorHAnsi"/>
    </w:rPr>
  </w:style>
  <w:style w:type="paragraph" w:customStyle="1" w:styleId="BaseText">
    <w:name w:val="__Base Text"/>
    <w:basedOn w:val="BaseStyle"/>
    <w:semiHidden/>
    <w:rsid w:val="004F5E0E"/>
  </w:style>
  <w:style w:type="numbering" w:customStyle="1" w:styleId="BorderedList">
    <w:name w:val="__Bordered List"/>
    <w:uiPriority w:val="99"/>
    <w:rsid w:val="004F5E0E"/>
    <w:pPr>
      <w:numPr>
        <w:numId w:val="2"/>
      </w:numPr>
    </w:pPr>
  </w:style>
  <w:style w:type="numbering" w:customStyle="1" w:styleId="ListHeading">
    <w:name w:val="__List Heading"/>
    <w:uiPriority w:val="99"/>
    <w:rsid w:val="004F5E0E"/>
    <w:pPr>
      <w:numPr>
        <w:numId w:val="5"/>
      </w:numPr>
    </w:pPr>
  </w:style>
  <w:style w:type="table" w:customStyle="1" w:styleId="TokioMarineTable">
    <w:name w:val="_Tokio Marine Table"/>
    <w:basedOn w:val="TableNormal"/>
    <w:uiPriority w:val="99"/>
    <w:rsid w:val="004F5E0E"/>
    <w:pPr>
      <w:spacing w:after="0" w:line="240" w:lineRule="auto"/>
    </w:pPr>
    <w:tblPr>
      <w:tblBorders>
        <w:top w:val="single" w:sz="4" w:space="0" w:color="E3C77F"/>
        <w:bottom w:val="single" w:sz="4" w:space="0" w:color="E3C77F"/>
        <w:insideH w:val="single" w:sz="4" w:space="0" w:color="E3C77F"/>
      </w:tblBorders>
      <w:tblCellMar>
        <w:left w:w="0" w:type="dxa"/>
        <w:bottom w:w="57" w:type="dxa"/>
        <w:right w:w="0" w:type="dxa"/>
      </w:tblCellMar>
    </w:tblPr>
    <w:trPr>
      <w:cantSplit/>
    </w:trPr>
  </w:style>
  <w:style w:type="paragraph" w:styleId="BalloonText">
    <w:name w:val="Balloon Text"/>
    <w:basedOn w:val="Normal"/>
    <w:link w:val="BalloonTextChar"/>
    <w:uiPriority w:val="99"/>
    <w:semiHidden/>
    <w:rsid w:val="004F5E0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F5E0E"/>
    <w:rPr>
      <w:rFonts w:ascii="Tahoma" w:eastAsia="Arial" w:hAnsi="Tahoma" w:cs="Tahoma"/>
      <w:sz w:val="16"/>
      <w:szCs w:val="16"/>
      <w:lang w:val="en-US"/>
    </w:rPr>
  </w:style>
  <w:style w:type="paragraph" w:styleId="BodyTextIndent">
    <w:name w:val="Body Text Indent"/>
    <w:basedOn w:val="BodyText"/>
    <w:link w:val="BodyTextIndentChar"/>
    <w:uiPriority w:val="5"/>
    <w:qFormat/>
    <w:rsid w:val="004F5E0E"/>
    <w:pPr>
      <w:ind w:left="454"/>
    </w:pPr>
  </w:style>
  <w:style w:type="character" w:customStyle="1" w:styleId="BodyTextIndentChar">
    <w:name w:val="Body Text Indent Char"/>
    <w:basedOn w:val="DefaultParagraphFont"/>
    <w:link w:val="BodyTextIndent"/>
    <w:uiPriority w:val="5"/>
    <w:rsid w:val="004F5E0E"/>
    <w:rPr>
      <w:sz w:val="18"/>
    </w:rPr>
  </w:style>
  <w:style w:type="character" w:styleId="BookTitle">
    <w:name w:val="Book Title"/>
    <w:basedOn w:val="DefaultParagraphFont"/>
    <w:uiPriority w:val="33"/>
    <w:semiHidden/>
    <w:rsid w:val="004F5E0E"/>
    <w:rPr>
      <w:b/>
      <w:bCs/>
      <w:smallCaps/>
      <w:spacing w:val="5"/>
    </w:rPr>
  </w:style>
  <w:style w:type="paragraph" w:customStyle="1" w:styleId="BorderedText">
    <w:name w:val="Bordered Text"/>
    <w:basedOn w:val="BodyText"/>
    <w:uiPriority w:val="6"/>
    <w:qFormat/>
    <w:rsid w:val="004F5E0E"/>
    <w:pPr>
      <w:pBdr>
        <w:top w:val="single" w:sz="4" w:space="13" w:color="009CE5" w:themeColor="accent1"/>
        <w:left w:val="single" w:sz="4" w:space="13" w:color="009CE5" w:themeColor="accent1"/>
        <w:bottom w:val="single" w:sz="4" w:space="13" w:color="009CE5" w:themeColor="accent1"/>
        <w:right w:val="single" w:sz="4" w:space="13" w:color="009CE5" w:themeColor="accent1"/>
      </w:pBdr>
      <w:ind w:left="284" w:right="284"/>
    </w:pPr>
  </w:style>
  <w:style w:type="paragraph" w:customStyle="1" w:styleId="BorderedListNumber">
    <w:name w:val="Bordered List Number"/>
    <w:basedOn w:val="BorderedText"/>
    <w:uiPriority w:val="7"/>
    <w:qFormat/>
    <w:rsid w:val="004F5E0E"/>
    <w:pPr>
      <w:numPr>
        <w:numId w:val="11"/>
      </w:numPr>
    </w:pPr>
  </w:style>
  <w:style w:type="character" w:styleId="Emphasis">
    <w:name w:val="Emphasis"/>
    <w:basedOn w:val="DefaultParagraphFont"/>
    <w:uiPriority w:val="20"/>
    <w:semiHidden/>
    <w:rsid w:val="004F5E0E"/>
    <w:rPr>
      <w:i/>
      <w:iCs/>
    </w:rPr>
  </w:style>
  <w:style w:type="paragraph" w:customStyle="1" w:styleId="FooterDetails">
    <w:name w:val="Footer Details"/>
    <w:basedOn w:val="Footer"/>
    <w:uiPriority w:val="99"/>
    <w:qFormat/>
    <w:rsid w:val="004F5E0E"/>
    <w:pPr>
      <w:jc w:val="right"/>
    </w:pPr>
  </w:style>
  <w:style w:type="character" w:customStyle="1" w:styleId="Heading1Char">
    <w:name w:val="Heading 1 Char"/>
    <w:basedOn w:val="DefaultParagraphFont"/>
    <w:link w:val="Heading1"/>
    <w:rsid w:val="00A22AEA"/>
    <w:rPr>
      <w:rFonts w:asciiTheme="majorHAnsi" w:eastAsiaTheme="majorEastAsia" w:hAnsiTheme="majorHAnsi" w:cstheme="majorBidi"/>
      <w:bCs/>
      <w:color w:val="009CE5" w:themeColor="accent1"/>
      <w:sz w:val="44"/>
      <w:szCs w:val="28"/>
    </w:rPr>
  </w:style>
  <w:style w:type="character" w:customStyle="1" w:styleId="Heading2Char">
    <w:name w:val="Heading 2 Char"/>
    <w:basedOn w:val="DefaultParagraphFont"/>
    <w:link w:val="Heading2"/>
    <w:rsid w:val="004F5E0E"/>
    <w:rPr>
      <w:rFonts w:asciiTheme="majorHAnsi" w:eastAsiaTheme="majorEastAsia" w:hAnsiTheme="majorHAnsi" w:cstheme="majorBidi"/>
      <w:bCs/>
      <w:color w:val="009CE5" w:themeColor="accent1"/>
      <w:sz w:val="22"/>
      <w:szCs w:val="26"/>
    </w:rPr>
  </w:style>
  <w:style w:type="character" w:customStyle="1" w:styleId="Heading3Char">
    <w:name w:val="Heading 3 Char"/>
    <w:basedOn w:val="DefaultParagraphFont"/>
    <w:link w:val="Heading3"/>
    <w:uiPriority w:val="9"/>
    <w:semiHidden/>
    <w:rsid w:val="008A160D"/>
    <w:rPr>
      <w:rFonts w:asciiTheme="majorHAnsi" w:eastAsiaTheme="majorEastAsia" w:hAnsiTheme="majorHAnsi" w:cstheme="majorBidi"/>
      <w:b/>
      <w:bCs/>
      <w:color w:val="009CE5" w:themeColor="accent1"/>
      <w:sz w:val="15"/>
      <w:szCs w:val="22"/>
      <w:lang w:val="en-US"/>
    </w:rPr>
  </w:style>
  <w:style w:type="character" w:customStyle="1" w:styleId="Heading4Char">
    <w:name w:val="Heading 4 Char"/>
    <w:basedOn w:val="DefaultParagraphFont"/>
    <w:link w:val="Heading4"/>
    <w:uiPriority w:val="9"/>
    <w:semiHidden/>
    <w:rsid w:val="008A160D"/>
    <w:rPr>
      <w:rFonts w:asciiTheme="majorHAnsi" w:eastAsiaTheme="majorEastAsia" w:hAnsiTheme="majorHAnsi" w:cstheme="majorBidi"/>
      <w:b/>
      <w:bCs/>
      <w:i/>
      <w:iCs/>
      <w:color w:val="009CE5" w:themeColor="accent1"/>
      <w:sz w:val="15"/>
      <w:szCs w:val="22"/>
      <w:lang w:val="en-US"/>
    </w:rPr>
  </w:style>
  <w:style w:type="character" w:styleId="IntenseEmphasis">
    <w:name w:val="Intense Emphasis"/>
    <w:basedOn w:val="DefaultParagraphFont"/>
    <w:uiPriority w:val="21"/>
    <w:semiHidden/>
    <w:rsid w:val="004F5E0E"/>
    <w:rPr>
      <w:b/>
      <w:bCs/>
      <w:i/>
      <w:iCs/>
      <w:color w:val="009CE5" w:themeColor="accent1"/>
    </w:rPr>
  </w:style>
  <w:style w:type="paragraph" w:styleId="IntenseQuote">
    <w:name w:val="Intense Quote"/>
    <w:basedOn w:val="Normal"/>
    <w:next w:val="Normal"/>
    <w:link w:val="IntenseQuoteChar"/>
    <w:uiPriority w:val="30"/>
    <w:semiHidden/>
    <w:rsid w:val="004F5E0E"/>
    <w:pPr>
      <w:pBdr>
        <w:bottom w:val="single" w:sz="4" w:space="4" w:color="009CE5" w:themeColor="accent1"/>
      </w:pBdr>
      <w:spacing w:before="200" w:after="280"/>
      <w:ind w:left="936" w:right="936"/>
    </w:pPr>
    <w:rPr>
      <w:b/>
      <w:bCs/>
      <w:i/>
      <w:iCs/>
      <w:color w:val="009CE5" w:themeColor="accent1"/>
    </w:rPr>
  </w:style>
  <w:style w:type="character" w:customStyle="1" w:styleId="IntenseQuoteChar">
    <w:name w:val="Intense Quote Char"/>
    <w:basedOn w:val="DefaultParagraphFont"/>
    <w:link w:val="IntenseQuote"/>
    <w:uiPriority w:val="30"/>
    <w:semiHidden/>
    <w:rsid w:val="008A160D"/>
    <w:rPr>
      <w:rFonts w:ascii="Arial" w:eastAsia="Arial" w:hAnsi="Arial" w:cs="Times New Roman"/>
      <w:b/>
      <w:bCs/>
      <w:i/>
      <w:iCs/>
      <w:color w:val="009CE5" w:themeColor="accent1"/>
      <w:sz w:val="15"/>
      <w:szCs w:val="22"/>
      <w:lang w:val="en-US"/>
    </w:rPr>
  </w:style>
  <w:style w:type="character" w:styleId="IntenseReference">
    <w:name w:val="Intense Reference"/>
    <w:basedOn w:val="DefaultParagraphFont"/>
    <w:uiPriority w:val="32"/>
    <w:semiHidden/>
    <w:rsid w:val="004F5E0E"/>
    <w:rPr>
      <w:b/>
      <w:bCs/>
      <w:smallCaps/>
      <w:color w:val="C79000" w:themeColor="accent2"/>
      <w:spacing w:val="5"/>
      <w:u w:val="single"/>
    </w:rPr>
  </w:style>
  <w:style w:type="paragraph" w:styleId="ListBullet">
    <w:name w:val="List Bullet"/>
    <w:basedOn w:val="BodyText"/>
    <w:uiPriority w:val="4"/>
    <w:qFormat/>
    <w:rsid w:val="007017A1"/>
    <w:pPr>
      <w:numPr>
        <w:numId w:val="22"/>
      </w:numPr>
      <w:ind w:left="470" w:hanging="357"/>
    </w:pPr>
  </w:style>
  <w:style w:type="paragraph" w:customStyle="1" w:styleId="ListHeading0">
    <w:name w:val="List Heading"/>
    <w:basedOn w:val="Heading2"/>
    <w:next w:val="ListParagraph"/>
    <w:uiPriority w:val="2"/>
    <w:qFormat/>
    <w:rsid w:val="004F5E0E"/>
    <w:pPr>
      <w:numPr>
        <w:numId w:val="20"/>
      </w:numPr>
      <w:spacing w:after="180" w:line="240" w:lineRule="auto"/>
    </w:pPr>
  </w:style>
  <w:style w:type="paragraph" w:styleId="ListNumber0">
    <w:name w:val="List Number"/>
    <w:basedOn w:val="BodyText"/>
    <w:uiPriority w:val="3"/>
    <w:qFormat/>
    <w:rsid w:val="00FE502B"/>
    <w:pPr>
      <w:numPr>
        <w:numId w:val="21"/>
      </w:numPr>
    </w:pPr>
  </w:style>
  <w:style w:type="paragraph" w:customStyle="1" w:styleId="ListNumber1">
    <w:name w:val="List Number 1"/>
    <w:basedOn w:val="BaseText"/>
    <w:uiPriority w:val="99"/>
    <w:semiHidden/>
    <w:rsid w:val="004F5E0E"/>
    <w:pPr>
      <w:suppressAutoHyphens/>
      <w:autoSpaceDE w:val="0"/>
      <w:autoSpaceDN w:val="0"/>
      <w:adjustRightInd w:val="0"/>
      <w:spacing w:before="120" w:line="240" w:lineRule="atLeast"/>
      <w:ind w:left="454" w:hanging="454"/>
      <w:textAlignment w:val="center"/>
    </w:pPr>
    <w:rPr>
      <w:rFonts w:ascii="ArialMT" w:hAnsi="ArialMT" w:cs="ArialMT"/>
      <w:color w:val="000000"/>
      <w:szCs w:val="18"/>
      <w:lang w:val="en-US"/>
    </w:rPr>
  </w:style>
  <w:style w:type="paragraph" w:styleId="ListParagraph">
    <w:name w:val="List Paragraph"/>
    <w:basedOn w:val="BodyText"/>
    <w:uiPriority w:val="1"/>
    <w:qFormat/>
    <w:rsid w:val="004F5E0E"/>
    <w:pPr>
      <w:numPr>
        <w:ilvl w:val="1"/>
        <w:numId w:val="20"/>
      </w:numPr>
    </w:pPr>
  </w:style>
  <w:style w:type="paragraph" w:styleId="NoSpacing">
    <w:name w:val="No Spacing"/>
    <w:link w:val="NoSpacingChar"/>
    <w:uiPriority w:val="1"/>
    <w:semiHidden/>
    <w:rsid w:val="004F5E0E"/>
    <w:pPr>
      <w:spacing w:after="0" w:line="240" w:lineRule="auto"/>
    </w:pPr>
    <w:rPr>
      <w:sz w:val="18"/>
    </w:rPr>
  </w:style>
  <w:style w:type="character" w:customStyle="1" w:styleId="NoSpacingChar">
    <w:name w:val="No Spacing Char"/>
    <w:basedOn w:val="DefaultParagraphFont"/>
    <w:link w:val="NoSpacing"/>
    <w:uiPriority w:val="1"/>
    <w:semiHidden/>
    <w:rsid w:val="008A160D"/>
    <w:rPr>
      <w:sz w:val="18"/>
    </w:rPr>
  </w:style>
  <w:style w:type="paragraph" w:styleId="Quote">
    <w:name w:val="Quote"/>
    <w:basedOn w:val="Normal"/>
    <w:next w:val="Normal"/>
    <w:link w:val="QuoteChar"/>
    <w:uiPriority w:val="29"/>
    <w:semiHidden/>
    <w:rsid w:val="004F5E0E"/>
    <w:rPr>
      <w:i/>
      <w:iCs/>
      <w:color w:val="000000" w:themeColor="text1"/>
    </w:rPr>
  </w:style>
  <w:style w:type="character" w:customStyle="1" w:styleId="QuoteChar">
    <w:name w:val="Quote Char"/>
    <w:basedOn w:val="DefaultParagraphFont"/>
    <w:link w:val="Quote"/>
    <w:uiPriority w:val="29"/>
    <w:semiHidden/>
    <w:rsid w:val="008A160D"/>
    <w:rPr>
      <w:rFonts w:ascii="Arial" w:eastAsia="Arial" w:hAnsi="Arial" w:cs="Times New Roman"/>
      <w:i/>
      <w:iCs/>
      <w:color w:val="000000" w:themeColor="text1"/>
      <w:sz w:val="15"/>
      <w:szCs w:val="22"/>
      <w:lang w:val="en-US"/>
    </w:rPr>
  </w:style>
  <w:style w:type="character" w:styleId="Strong">
    <w:name w:val="Strong"/>
    <w:basedOn w:val="DefaultParagraphFont"/>
    <w:uiPriority w:val="22"/>
    <w:semiHidden/>
    <w:rsid w:val="004F5E0E"/>
    <w:rPr>
      <w:b/>
      <w:bCs/>
    </w:rPr>
  </w:style>
  <w:style w:type="character" w:styleId="SubtleEmphasis">
    <w:name w:val="Subtle Emphasis"/>
    <w:basedOn w:val="DefaultParagraphFont"/>
    <w:uiPriority w:val="19"/>
    <w:semiHidden/>
    <w:rsid w:val="004F5E0E"/>
    <w:rPr>
      <w:i/>
      <w:iCs/>
      <w:color w:val="808080" w:themeColor="text1" w:themeTint="7F"/>
    </w:rPr>
  </w:style>
  <w:style w:type="character" w:styleId="SubtleReference">
    <w:name w:val="Subtle Reference"/>
    <w:basedOn w:val="DefaultParagraphFont"/>
    <w:uiPriority w:val="31"/>
    <w:semiHidden/>
    <w:rsid w:val="004F5E0E"/>
    <w:rPr>
      <w:smallCaps/>
      <w:color w:val="C79000" w:themeColor="accent2"/>
      <w:u w:val="single"/>
    </w:rPr>
  </w:style>
  <w:style w:type="table" w:styleId="TableGrid">
    <w:name w:val="Table Grid"/>
    <w:aliases w:val="Validus"/>
    <w:basedOn w:val="TableNormal"/>
    <w:uiPriority w:val="59"/>
    <w:rsid w:val="004F5E0E"/>
    <w:pPr>
      <w:spacing w:after="0" w:line="240" w:lineRule="auto"/>
    </w:pPr>
    <w:tblPr>
      <w:tblCellMar>
        <w:left w:w="0" w:type="dxa"/>
        <w:right w:w="0" w:type="dxa"/>
      </w:tblCellMar>
    </w:tblPr>
  </w:style>
  <w:style w:type="numbering" w:customStyle="1" w:styleId="ListBody">
    <w:name w:val="__List Body"/>
    <w:uiPriority w:val="99"/>
    <w:rsid w:val="004F5E0E"/>
    <w:pPr>
      <w:numPr>
        <w:numId w:val="4"/>
      </w:numPr>
    </w:pPr>
  </w:style>
  <w:style w:type="paragraph" w:customStyle="1" w:styleId="BodyBullet">
    <w:name w:val="Body Bullet"/>
    <w:basedOn w:val="BodyText"/>
    <w:uiPriority w:val="6"/>
    <w:qFormat/>
    <w:rsid w:val="004F5E0E"/>
    <w:pPr>
      <w:numPr>
        <w:numId w:val="9"/>
      </w:numPr>
    </w:pPr>
  </w:style>
  <w:style w:type="numbering" w:customStyle="1" w:styleId="BorderedListBullet">
    <w:name w:val="__Bordered List Bullet"/>
    <w:uiPriority w:val="99"/>
    <w:rsid w:val="004F5E0E"/>
    <w:pPr>
      <w:numPr>
        <w:numId w:val="3"/>
      </w:numPr>
    </w:pPr>
  </w:style>
  <w:style w:type="numbering" w:customStyle="1" w:styleId="ListNumber">
    <w:name w:val="__List Number"/>
    <w:uiPriority w:val="99"/>
    <w:rsid w:val="00FE502B"/>
    <w:pPr>
      <w:numPr>
        <w:numId w:val="1"/>
      </w:numPr>
    </w:pPr>
  </w:style>
  <w:style w:type="paragraph" w:customStyle="1" w:styleId="BorderedListBullet0">
    <w:name w:val="Bordered List Bullet"/>
    <w:basedOn w:val="BorderedText"/>
    <w:uiPriority w:val="8"/>
    <w:qFormat/>
    <w:rsid w:val="004F5E0E"/>
    <w:pPr>
      <w:numPr>
        <w:numId w:val="10"/>
      </w:numPr>
    </w:pPr>
  </w:style>
  <w:style w:type="paragraph" w:customStyle="1" w:styleId="Default">
    <w:name w:val="Default"/>
    <w:rsid w:val="00F86840"/>
    <w:pPr>
      <w:autoSpaceDE w:val="0"/>
      <w:autoSpaceDN w:val="0"/>
      <w:adjustRightInd w:val="0"/>
      <w:spacing w:after="0" w:line="240" w:lineRule="auto"/>
    </w:pPr>
    <w:rPr>
      <w:rFonts w:ascii="Arial" w:hAnsi="Arial" w:cs="Arial"/>
      <w:color w:val="000000"/>
      <w:sz w:val="24"/>
      <w:szCs w:val="24"/>
    </w:rPr>
  </w:style>
  <w:style w:type="character" w:styleId="Hyperlink">
    <w:name w:val="Hyperlink"/>
    <w:basedOn w:val="DefaultParagraphFont"/>
    <w:uiPriority w:val="99"/>
    <w:qFormat/>
    <w:rsid w:val="004F5E0E"/>
    <w:rPr>
      <w:color w:val="000000" w:themeColor="hyperlink"/>
      <w:u w:val="single"/>
    </w:rPr>
  </w:style>
  <w:style w:type="numbering" w:styleId="111111">
    <w:name w:val="Outline List 2"/>
    <w:basedOn w:val="NoList"/>
    <w:uiPriority w:val="99"/>
    <w:semiHidden/>
    <w:unhideWhenUsed/>
    <w:rsid w:val="004F5E0E"/>
    <w:pPr>
      <w:numPr>
        <w:numId w:val="6"/>
      </w:numPr>
    </w:pPr>
  </w:style>
  <w:style w:type="numbering" w:styleId="1ai">
    <w:name w:val="Outline List 1"/>
    <w:basedOn w:val="NoList"/>
    <w:uiPriority w:val="99"/>
    <w:semiHidden/>
    <w:unhideWhenUsed/>
    <w:rsid w:val="004F5E0E"/>
    <w:pPr>
      <w:numPr>
        <w:numId w:val="7"/>
      </w:numPr>
    </w:pPr>
  </w:style>
  <w:style w:type="character" w:customStyle="1" w:styleId="Heading5Char">
    <w:name w:val="Heading 5 Char"/>
    <w:basedOn w:val="DefaultParagraphFont"/>
    <w:link w:val="Heading5"/>
    <w:uiPriority w:val="9"/>
    <w:semiHidden/>
    <w:rsid w:val="008A160D"/>
    <w:rPr>
      <w:rFonts w:asciiTheme="majorHAnsi" w:eastAsiaTheme="majorEastAsia" w:hAnsiTheme="majorHAnsi" w:cstheme="majorBidi"/>
      <w:color w:val="004D72" w:themeColor="accent1" w:themeShade="7F"/>
      <w:sz w:val="15"/>
      <w:szCs w:val="22"/>
      <w:lang w:val="en-US"/>
    </w:rPr>
  </w:style>
  <w:style w:type="character" w:customStyle="1" w:styleId="Heading6Char">
    <w:name w:val="Heading 6 Char"/>
    <w:basedOn w:val="DefaultParagraphFont"/>
    <w:link w:val="Heading6"/>
    <w:uiPriority w:val="9"/>
    <w:semiHidden/>
    <w:rsid w:val="008A160D"/>
    <w:rPr>
      <w:rFonts w:asciiTheme="majorHAnsi" w:eastAsiaTheme="majorEastAsia" w:hAnsiTheme="majorHAnsi" w:cstheme="majorBidi"/>
      <w:i/>
      <w:iCs/>
      <w:color w:val="004D72" w:themeColor="accent1" w:themeShade="7F"/>
      <w:sz w:val="15"/>
      <w:szCs w:val="22"/>
      <w:lang w:val="en-US"/>
    </w:rPr>
  </w:style>
  <w:style w:type="character" w:customStyle="1" w:styleId="Heading7Char">
    <w:name w:val="Heading 7 Char"/>
    <w:basedOn w:val="DefaultParagraphFont"/>
    <w:link w:val="Heading7"/>
    <w:uiPriority w:val="9"/>
    <w:semiHidden/>
    <w:rsid w:val="008A160D"/>
    <w:rPr>
      <w:rFonts w:asciiTheme="majorHAnsi" w:eastAsiaTheme="majorEastAsia" w:hAnsiTheme="majorHAnsi" w:cstheme="majorBidi"/>
      <w:i/>
      <w:iCs/>
      <w:color w:val="404040" w:themeColor="text1" w:themeTint="BF"/>
      <w:sz w:val="15"/>
      <w:szCs w:val="22"/>
      <w:lang w:val="en-US"/>
    </w:rPr>
  </w:style>
  <w:style w:type="character" w:customStyle="1" w:styleId="Heading8Char">
    <w:name w:val="Heading 8 Char"/>
    <w:basedOn w:val="DefaultParagraphFont"/>
    <w:link w:val="Heading8"/>
    <w:uiPriority w:val="9"/>
    <w:semiHidden/>
    <w:rsid w:val="008A160D"/>
    <w:rPr>
      <w:rFonts w:asciiTheme="majorHAnsi" w:eastAsiaTheme="majorEastAsia" w:hAnsiTheme="majorHAnsi" w:cstheme="majorBidi"/>
      <w:color w:val="404040" w:themeColor="text1" w:themeTint="BF"/>
      <w:szCs w:val="22"/>
      <w:lang w:val="en-US"/>
    </w:rPr>
  </w:style>
  <w:style w:type="character" w:customStyle="1" w:styleId="Heading9Char">
    <w:name w:val="Heading 9 Char"/>
    <w:basedOn w:val="DefaultParagraphFont"/>
    <w:link w:val="Heading9"/>
    <w:uiPriority w:val="9"/>
    <w:semiHidden/>
    <w:rsid w:val="008A160D"/>
    <w:rPr>
      <w:rFonts w:asciiTheme="majorHAnsi" w:eastAsiaTheme="majorEastAsia" w:hAnsiTheme="majorHAnsi" w:cstheme="majorBidi"/>
      <w:i/>
      <w:iCs/>
      <w:color w:val="404040" w:themeColor="text1" w:themeTint="BF"/>
      <w:szCs w:val="22"/>
      <w:lang w:val="en-US"/>
    </w:rPr>
  </w:style>
  <w:style w:type="numbering" w:styleId="ArticleSection">
    <w:name w:val="Outline List 3"/>
    <w:basedOn w:val="NoList"/>
    <w:uiPriority w:val="99"/>
    <w:semiHidden/>
    <w:unhideWhenUsed/>
    <w:rsid w:val="004F5E0E"/>
    <w:pPr>
      <w:numPr>
        <w:numId w:val="8"/>
      </w:numPr>
    </w:pPr>
  </w:style>
  <w:style w:type="paragraph" w:styleId="Bibliography">
    <w:name w:val="Bibliography"/>
    <w:basedOn w:val="Normal"/>
    <w:next w:val="Normal"/>
    <w:uiPriority w:val="37"/>
    <w:semiHidden/>
    <w:rsid w:val="004F5E0E"/>
  </w:style>
  <w:style w:type="paragraph" w:styleId="BlockText">
    <w:name w:val="Block Text"/>
    <w:basedOn w:val="Normal"/>
    <w:uiPriority w:val="99"/>
    <w:semiHidden/>
    <w:rsid w:val="004F5E0E"/>
    <w:pPr>
      <w:pBdr>
        <w:top w:val="single" w:sz="2" w:space="10" w:color="009CE5" w:themeColor="accent1" w:shadow="1" w:frame="1"/>
        <w:left w:val="single" w:sz="2" w:space="10" w:color="009CE5" w:themeColor="accent1" w:shadow="1" w:frame="1"/>
        <w:bottom w:val="single" w:sz="2" w:space="10" w:color="009CE5" w:themeColor="accent1" w:shadow="1" w:frame="1"/>
        <w:right w:val="single" w:sz="2" w:space="10" w:color="009CE5" w:themeColor="accent1" w:shadow="1" w:frame="1"/>
      </w:pBdr>
      <w:ind w:left="1152" w:right="1152"/>
    </w:pPr>
    <w:rPr>
      <w:rFonts w:eastAsiaTheme="minorEastAsia"/>
      <w:i/>
      <w:iCs/>
      <w:color w:val="009CE5" w:themeColor="accent1"/>
    </w:rPr>
  </w:style>
  <w:style w:type="paragraph" w:styleId="BodyText2">
    <w:name w:val="Body Text 2"/>
    <w:basedOn w:val="Normal"/>
    <w:link w:val="BodyText2Char"/>
    <w:uiPriority w:val="99"/>
    <w:semiHidden/>
    <w:rsid w:val="004F5E0E"/>
    <w:pPr>
      <w:spacing w:after="120" w:line="480" w:lineRule="auto"/>
    </w:pPr>
  </w:style>
  <w:style w:type="character" w:customStyle="1" w:styleId="BodyText2Char">
    <w:name w:val="Body Text 2 Char"/>
    <w:basedOn w:val="DefaultParagraphFont"/>
    <w:link w:val="BodyText2"/>
    <w:uiPriority w:val="99"/>
    <w:semiHidden/>
    <w:rsid w:val="008A160D"/>
    <w:rPr>
      <w:rFonts w:ascii="Arial" w:eastAsia="Arial" w:hAnsi="Arial" w:cs="Times New Roman"/>
      <w:sz w:val="15"/>
      <w:szCs w:val="22"/>
      <w:lang w:val="en-US"/>
    </w:rPr>
  </w:style>
  <w:style w:type="paragraph" w:styleId="BodyText3">
    <w:name w:val="Body Text 3"/>
    <w:basedOn w:val="Normal"/>
    <w:link w:val="BodyText3Char"/>
    <w:uiPriority w:val="99"/>
    <w:semiHidden/>
    <w:rsid w:val="004F5E0E"/>
    <w:pPr>
      <w:spacing w:after="120"/>
    </w:pPr>
    <w:rPr>
      <w:sz w:val="16"/>
      <w:szCs w:val="16"/>
    </w:rPr>
  </w:style>
  <w:style w:type="character" w:customStyle="1" w:styleId="BodyText3Char">
    <w:name w:val="Body Text 3 Char"/>
    <w:basedOn w:val="DefaultParagraphFont"/>
    <w:link w:val="BodyText3"/>
    <w:uiPriority w:val="99"/>
    <w:semiHidden/>
    <w:rsid w:val="004F5E0E"/>
    <w:rPr>
      <w:rFonts w:ascii="Arial" w:eastAsia="Arial" w:hAnsi="Arial" w:cs="Times New Roman"/>
      <w:sz w:val="16"/>
      <w:szCs w:val="16"/>
      <w:lang w:val="en-US"/>
    </w:rPr>
  </w:style>
  <w:style w:type="paragraph" w:styleId="BodyTextFirstIndent">
    <w:name w:val="Body Text First Indent"/>
    <w:basedOn w:val="BodyText"/>
    <w:link w:val="BodyTextFirstIndentChar"/>
    <w:uiPriority w:val="99"/>
    <w:semiHidden/>
    <w:rsid w:val="004F5E0E"/>
    <w:pPr>
      <w:spacing w:line="276" w:lineRule="auto"/>
      <w:ind w:firstLine="360"/>
    </w:pPr>
  </w:style>
  <w:style w:type="character" w:customStyle="1" w:styleId="BodyTextFirstIndentChar">
    <w:name w:val="Body Text First Indent Char"/>
    <w:basedOn w:val="BodyTextChar"/>
    <w:link w:val="BodyTextFirstIndent"/>
    <w:uiPriority w:val="99"/>
    <w:semiHidden/>
    <w:rsid w:val="004F5E0E"/>
    <w:rPr>
      <w:sz w:val="18"/>
    </w:rPr>
  </w:style>
  <w:style w:type="paragraph" w:styleId="BodyTextFirstIndent2">
    <w:name w:val="Body Text First Indent 2"/>
    <w:basedOn w:val="BodyTextIndent"/>
    <w:link w:val="BodyTextFirstIndent2Char"/>
    <w:uiPriority w:val="99"/>
    <w:semiHidden/>
    <w:rsid w:val="004F5E0E"/>
    <w:pPr>
      <w:spacing w:line="276" w:lineRule="auto"/>
      <w:ind w:left="360" w:firstLine="360"/>
    </w:pPr>
  </w:style>
  <w:style w:type="character" w:customStyle="1" w:styleId="BodyTextFirstIndent2Char">
    <w:name w:val="Body Text First Indent 2 Char"/>
    <w:basedOn w:val="BodyTextIndentChar"/>
    <w:link w:val="BodyTextFirstIndent2"/>
    <w:uiPriority w:val="99"/>
    <w:semiHidden/>
    <w:rsid w:val="004F5E0E"/>
    <w:rPr>
      <w:sz w:val="18"/>
    </w:rPr>
  </w:style>
  <w:style w:type="paragraph" w:styleId="BodyTextIndent2">
    <w:name w:val="Body Text Indent 2"/>
    <w:basedOn w:val="Normal"/>
    <w:link w:val="BodyTextIndent2Char"/>
    <w:uiPriority w:val="99"/>
    <w:semiHidden/>
    <w:rsid w:val="004F5E0E"/>
    <w:pPr>
      <w:spacing w:after="120" w:line="480" w:lineRule="auto"/>
      <w:ind w:left="283"/>
    </w:pPr>
  </w:style>
  <w:style w:type="character" w:customStyle="1" w:styleId="BodyTextIndent2Char">
    <w:name w:val="Body Text Indent 2 Char"/>
    <w:basedOn w:val="DefaultParagraphFont"/>
    <w:link w:val="BodyTextIndent2"/>
    <w:uiPriority w:val="99"/>
    <w:semiHidden/>
    <w:rsid w:val="008A160D"/>
    <w:rPr>
      <w:rFonts w:ascii="Arial" w:eastAsia="Arial" w:hAnsi="Arial" w:cs="Times New Roman"/>
      <w:sz w:val="15"/>
      <w:szCs w:val="22"/>
      <w:lang w:val="en-US"/>
    </w:rPr>
  </w:style>
  <w:style w:type="paragraph" w:styleId="BodyTextIndent3">
    <w:name w:val="Body Text Indent 3"/>
    <w:basedOn w:val="Normal"/>
    <w:link w:val="BodyTextIndent3Char"/>
    <w:uiPriority w:val="99"/>
    <w:semiHidden/>
    <w:rsid w:val="004F5E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8A160D"/>
    <w:rPr>
      <w:rFonts w:ascii="Arial" w:eastAsia="Arial" w:hAnsi="Arial" w:cs="Times New Roman"/>
      <w:sz w:val="16"/>
      <w:szCs w:val="16"/>
      <w:lang w:val="en-US"/>
    </w:rPr>
  </w:style>
  <w:style w:type="paragraph" w:styleId="Caption">
    <w:name w:val="caption"/>
    <w:basedOn w:val="Normal"/>
    <w:next w:val="Normal"/>
    <w:uiPriority w:val="35"/>
    <w:semiHidden/>
    <w:qFormat/>
    <w:rsid w:val="004F5E0E"/>
    <w:pPr>
      <w:spacing w:line="240" w:lineRule="auto"/>
    </w:pPr>
    <w:rPr>
      <w:b/>
      <w:bCs/>
      <w:color w:val="009CE5" w:themeColor="accent1"/>
      <w:szCs w:val="18"/>
    </w:rPr>
  </w:style>
  <w:style w:type="paragraph" w:styleId="Closing">
    <w:name w:val="Closing"/>
    <w:basedOn w:val="Normal"/>
    <w:link w:val="ClosingChar"/>
    <w:uiPriority w:val="99"/>
    <w:semiHidden/>
    <w:rsid w:val="004F5E0E"/>
    <w:pPr>
      <w:spacing w:line="240" w:lineRule="auto"/>
      <w:ind w:left="4252"/>
    </w:pPr>
  </w:style>
  <w:style w:type="character" w:customStyle="1" w:styleId="ClosingChar">
    <w:name w:val="Closing Char"/>
    <w:basedOn w:val="DefaultParagraphFont"/>
    <w:link w:val="Closing"/>
    <w:uiPriority w:val="99"/>
    <w:semiHidden/>
    <w:rsid w:val="004F5E0E"/>
    <w:rPr>
      <w:rFonts w:ascii="Arial" w:eastAsia="Arial" w:hAnsi="Arial" w:cs="Times New Roman"/>
      <w:sz w:val="15"/>
      <w:szCs w:val="22"/>
      <w:lang w:val="en-US"/>
    </w:rPr>
  </w:style>
  <w:style w:type="table" w:styleId="ColorfulGrid">
    <w:name w:val="Colorful Grid"/>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6ECFF" w:themeFill="accent1" w:themeFillTint="33"/>
    </w:tcPr>
    <w:tblStylePr w:type="firstRow">
      <w:rPr>
        <w:b/>
        <w:bCs/>
      </w:rPr>
      <w:tblPr/>
      <w:tcPr>
        <w:shd w:val="clear" w:color="auto" w:fill="8EDAFF" w:themeFill="accent1" w:themeFillTint="66"/>
      </w:tcPr>
    </w:tblStylePr>
    <w:tblStylePr w:type="lastRow">
      <w:rPr>
        <w:b/>
        <w:bCs/>
        <w:color w:val="000000" w:themeColor="text1"/>
      </w:rPr>
      <w:tblPr/>
      <w:tcPr>
        <w:shd w:val="clear" w:color="auto" w:fill="8EDAFF" w:themeFill="accent1" w:themeFillTint="66"/>
      </w:tcPr>
    </w:tblStylePr>
    <w:tblStylePr w:type="firstCol">
      <w:rPr>
        <w:color w:val="FFFFFF" w:themeColor="background1"/>
      </w:rPr>
      <w:tblPr/>
      <w:tcPr>
        <w:shd w:val="clear" w:color="auto" w:fill="0074AB" w:themeFill="accent1" w:themeFillShade="BF"/>
      </w:tcPr>
    </w:tblStylePr>
    <w:tblStylePr w:type="lastCol">
      <w:rPr>
        <w:color w:val="FFFFFF" w:themeColor="background1"/>
      </w:rPr>
      <w:tblPr/>
      <w:tcPr>
        <w:shd w:val="clear" w:color="auto" w:fill="0074AB" w:themeFill="accent1" w:themeFillShade="BF"/>
      </w:tc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ColorfulGrid-Accent2">
    <w:name w:val="Colorful Grid Accent 2"/>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DC0" w:themeFill="accent2" w:themeFillTint="33"/>
    </w:tcPr>
    <w:tblStylePr w:type="firstRow">
      <w:rPr>
        <w:b/>
        <w:bCs/>
      </w:rPr>
      <w:tblPr/>
      <w:tcPr>
        <w:shd w:val="clear" w:color="auto" w:fill="FFDC82" w:themeFill="accent2" w:themeFillTint="66"/>
      </w:tcPr>
    </w:tblStylePr>
    <w:tblStylePr w:type="lastRow">
      <w:rPr>
        <w:b/>
        <w:bCs/>
        <w:color w:val="000000" w:themeColor="text1"/>
      </w:rPr>
      <w:tblPr/>
      <w:tcPr>
        <w:shd w:val="clear" w:color="auto" w:fill="FFDC82" w:themeFill="accent2" w:themeFillTint="66"/>
      </w:tcPr>
    </w:tblStylePr>
    <w:tblStylePr w:type="firstCol">
      <w:rPr>
        <w:color w:val="FFFFFF" w:themeColor="background1"/>
      </w:rPr>
      <w:tblPr/>
      <w:tcPr>
        <w:shd w:val="clear" w:color="auto" w:fill="956B00" w:themeFill="accent2" w:themeFillShade="BF"/>
      </w:tcPr>
    </w:tblStylePr>
    <w:tblStylePr w:type="lastCol">
      <w:rPr>
        <w:color w:val="FFFFFF" w:themeColor="background1"/>
      </w:rPr>
      <w:tblPr/>
      <w:tcPr>
        <w:shd w:val="clear" w:color="auto" w:fill="956B00" w:themeFill="accent2" w:themeFillShade="BF"/>
      </w:tc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ColorfulGrid-Accent3">
    <w:name w:val="Colorful Grid Accent 3"/>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0FF" w:themeFill="accent3" w:themeFillTint="33"/>
    </w:tcPr>
    <w:tblStylePr w:type="firstRow">
      <w:rPr>
        <w:b/>
        <w:bCs/>
      </w:rPr>
      <w:tblPr/>
      <w:tcPr>
        <w:shd w:val="clear" w:color="auto" w:fill="84C1FF" w:themeFill="accent3" w:themeFillTint="66"/>
      </w:tcPr>
    </w:tblStylePr>
    <w:tblStylePr w:type="lastRow">
      <w:rPr>
        <w:b/>
        <w:bCs/>
        <w:color w:val="000000" w:themeColor="text1"/>
      </w:rPr>
      <w:tblPr/>
      <w:tcPr>
        <w:shd w:val="clear" w:color="auto" w:fill="84C1FF" w:themeFill="accent3" w:themeFillTint="66"/>
      </w:tcPr>
    </w:tblStylePr>
    <w:tblStylePr w:type="firstCol">
      <w:rPr>
        <w:color w:val="FFFFFF" w:themeColor="background1"/>
      </w:rPr>
      <w:tblPr/>
      <w:tcPr>
        <w:shd w:val="clear" w:color="auto" w:fill="004C98" w:themeFill="accent3" w:themeFillShade="BF"/>
      </w:tcPr>
    </w:tblStylePr>
    <w:tblStylePr w:type="lastCol">
      <w:rPr>
        <w:color w:val="FFFFFF" w:themeColor="background1"/>
      </w:rPr>
      <w:tblPr/>
      <w:tcPr>
        <w:shd w:val="clear" w:color="auto" w:fill="004C98" w:themeFill="accent3" w:themeFillShade="BF"/>
      </w:tc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ColorfulGrid-Accent4">
    <w:name w:val="Colorful Grid Accent 4"/>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C6D2" w:themeFill="accent4" w:themeFillTint="33"/>
    </w:tcPr>
    <w:tblStylePr w:type="firstRow">
      <w:rPr>
        <w:b/>
        <w:bCs/>
      </w:rPr>
      <w:tblPr/>
      <w:tcPr>
        <w:shd w:val="clear" w:color="auto" w:fill="FF8DA6" w:themeFill="accent4" w:themeFillTint="66"/>
      </w:tcPr>
    </w:tblStylePr>
    <w:tblStylePr w:type="lastRow">
      <w:rPr>
        <w:b/>
        <w:bCs/>
        <w:color w:val="000000" w:themeColor="text1"/>
      </w:rPr>
      <w:tblPr/>
      <w:tcPr>
        <w:shd w:val="clear" w:color="auto" w:fill="FF8DA6" w:themeFill="accent4" w:themeFillTint="66"/>
      </w:tcPr>
    </w:tblStylePr>
    <w:tblStylePr w:type="firstCol">
      <w:rPr>
        <w:color w:val="FFFFFF" w:themeColor="background1"/>
      </w:rPr>
      <w:tblPr/>
      <w:tcPr>
        <w:shd w:val="clear" w:color="auto" w:fill="A90025" w:themeFill="accent4" w:themeFillShade="BF"/>
      </w:tcPr>
    </w:tblStylePr>
    <w:tblStylePr w:type="lastCol">
      <w:rPr>
        <w:color w:val="FFFFFF" w:themeColor="background1"/>
      </w:rPr>
      <w:tblPr/>
      <w:tcPr>
        <w:shd w:val="clear" w:color="auto" w:fill="A90025" w:themeFill="accent4" w:themeFillShade="BF"/>
      </w:tc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ColorfulGrid-Accent5">
    <w:name w:val="Colorful Grid Accent 5"/>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EACC" w:themeFill="accent5" w:themeFillTint="33"/>
    </w:tcPr>
    <w:tblStylePr w:type="firstRow">
      <w:rPr>
        <w:b/>
        <w:bCs/>
      </w:rPr>
      <w:tblPr/>
      <w:tcPr>
        <w:shd w:val="clear" w:color="auto" w:fill="FFD699" w:themeFill="accent5" w:themeFillTint="66"/>
      </w:tcPr>
    </w:tblStylePr>
    <w:tblStylePr w:type="lastRow">
      <w:rPr>
        <w:b/>
        <w:bCs/>
        <w:color w:val="000000" w:themeColor="text1"/>
      </w:rPr>
      <w:tblPr/>
      <w:tcPr>
        <w:shd w:val="clear" w:color="auto" w:fill="FFD699" w:themeFill="accent5" w:themeFillTint="66"/>
      </w:tcPr>
    </w:tblStylePr>
    <w:tblStylePr w:type="firstCol">
      <w:rPr>
        <w:color w:val="FFFFFF" w:themeColor="background1"/>
      </w:rPr>
      <w:tblPr/>
      <w:tcPr>
        <w:shd w:val="clear" w:color="auto" w:fill="BF7200" w:themeFill="accent5" w:themeFillShade="BF"/>
      </w:tcPr>
    </w:tblStylePr>
    <w:tblStylePr w:type="lastCol">
      <w:rPr>
        <w:color w:val="FFFFFF" w:themeColor="background1"/>
      </w:rPr>
      <w:tblPr/>
      <w:tcPr>
        <w:shd w:val="clear" w:color="auto" w:fill="BF7200" w:themeFill="accent5" w:themeFillShade="BF"/>
      </w:tc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ColorfulGrid-Accent6">
    <w:name w:val="Colorful Grid Accent 6"/>
    <w:basedOn w:val="TableNormal"/>
    <w:uiPriority w:val="73"/>
    <w:rsid w:val="004F5E0E"/>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4CC" w:themeFill="accent6" w:themeFillTint="33"/>
    </w:tcPr>
    <w:tblStylePr w:type="firstRow">
      <w:rPr>
        <w:b/>
        <w:bCs/>
      </w:rPr>
      <w:tblPr/>
      <w:tcPr>
        <w:shd w:val="clear" w:color="auto" w:fill="FFEA99" w:themeFill="accent6" w:themeFillTint="66"/>
      </w:tcPr>
    </w:tblStylePr>
    <w:tblStylePr w:type="lastRow">
      <w:rPr>
        <w:b/>
        <w:bCs/>
        <w:color w:val="000000" w:themeColor="text1"/>
      </w:rPr>
      <w:tblPr/>
      <w:tcPr>
        <w:shd w:val="clear" w:color="auto" w:fill="FFEA99" w:themeFill="accent6" w:themeFillTint="66"/>
      </w:tcPr>
    </w:tblStylePr>
    <w:tblStylePr w:type="firstCol">
      <w:rPr>
        <w:color w:val="FFFFFF" w:themeColor="background1"/>
      </w:rPr>
      <w:tblPr/>
      <w:tcPr>
        <w:shd w:val="clear" w:color="auto" w:fill="BF9800" w:themeFill="accent6" w:themeFillShade="BF"/>
      </w:tcPr>
    </w:tblStylePr>
    <w:tblStylePr w:type="lastCol">
      <w:rPr>
        <w:color w:val="FFFFFF" w:themeColor="background1"/>
      </w:rPr>
      <w:tblPr/>
      <w:tcPr>
        <w:shd w:val="clear" w:color="auto" w:fill="BF9800" w:themeFill="accent6" w:themeFillShade="BF"/>
      </w:tc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ColorfulList">
    <w:name w:val="Colorful List"/>
    <w:basedOn w:val="TableNormal"/>
    <w:uiPriority w:val="72"/>
    <w:rsid w:val="004F5E0E"/>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F5E0E"/>
    <w:pPr>
      <w:spacing w:after="0" w:line="240" w:lineRule="auto"/>
    </w:pPr>
    <w:rPr>
      <w:color w:val="000000" w:themeColor="text1"/>
    </w:rPr>
    <w:tblPr>
      <w:tblStyleRowBandSize w:val="1"/>
      <w:tblStyleColBandSize w:val="1"/>
    </w:tblPr>
    <w:tcPr>
      <w:shd w:val="clear" w:color="auto" w:fill="E3F6FF" w:themeFill="accent1"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9E8FF" w:themeFill="accent1" w:themeFillTint="3F"/>
      </w:tcPr>
    </w:tblStylePr>
    <w:tblStylePr w:type="band1Horz">
      <w:tblPr/>
      <w:tcPr>
        <w:shd w:val="clear" w:color="auto" w:fill="C6ECFF" w:themeFill="accent1" w:themeFillTint="33"/>
      </w:tcPr>
    </w:tblStylePr>
  </w:style>
  <w:style w:type="table" w:styleId="ColorfulList-Accent2">
    <w:name w:val="Colorful List Accent 2"/>
    <w:basedOn w:val="TableNormal"/>
    <w:uiPriority w:val="72"/>
    <w:rsid w:val="004F5E0E"/>
    <w:pPr>
      <w:spacing w:after="0" w:line="240" w:lineRule="auto"/>
    </w:pPr>
    <w:rPr>
      <w:color w:val="000000" w:themeColor="text1"/>
    </w:rPr>
    <w:tblPr>
      <w:tblStyleRowBandSize w:val="1"/>
      <w:tblStyleColBandSize w:val="1"/>
    </w:tblPr>
    <w:tcPr>
      <w:shd w:val="clear" w:color="auto" w:fill="FFF6E0" w:themeFill="accent2" w:themeFillTint="19"/>
    </w:tcPr>
    <w:tblStylePr w:type="firstRow">
      <w:rPr>
        <w:b/>
        <w:bCs/>
        <w:color w:val="FFFFFF" w:themeColor="background1"/>
      </w:rPr>
      <w:tblPr/>
      <w:tcPr>
        <w:tcBorders>
          <w:bottom w:val="single" w:sz="12" w:space="0" w:color="FFFFFF" w:themeColor="background1"/>
        </w:tcBorders>
        <w:shd w:val="clear" w:color="auto" w:fill="9F7200" w:themeFill="accent2" w:themeFillShade="CC"/>
      </w:tcPr>
    </w:tblStylePr>
    <w:tblStylePr w:type="lastRow">
      <w:rPr>
        <w:b/>
        <w:bCs/>
        <w:color w:val="9F72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9B2" w:themeFill="accent2" w:themeFillTint="3F"/>
      </w:tcPr>
    </w:tblStylePr>
    <w:tblStylePr w:type="band1Horz">
      <w:tblPr/>
      <w:tcPr>
        <w:shd w:val="clear" w:color="auto" w:fill="FFEDC0" w:themeFill="accent2" w:themeFillTint="33"/>
      </w:tcPr>
    </w:tblStylePr>
  </w:style>
  <w:style w:type="table" w:styleId="ColorfulList-Accent3">
    <w:name w:val="Colorful List Accent 3"/>
    <w:basedOn w:val="TableNormal"/>
    <w:uiPriority w:val="72"/>
    <w:rsid w:val="004F5E0E"/>
    <w:pPr>
      <w:spacing w:after="0" w:line="240" w:lineRule="auto"/>
    </w:pPr>
    <w:rPr>
      <w:color w:val="000000" w:themeColor="text1"/>
    </w:rPr>
    <w:tblPr>
      <w:tblStyleRowBandSize w:val="1"/>
      <w:tblStyleColBandSize w:val="1"/>
    </w:tblPr>
    <w:tcPr>
      <w:shd w:val="clear" w:color="auto" w:fill="E1EFFF" w:themeFill="accent3" w:themeFillTint="19"/>
    </w:tcPr>
    <w:tblStylePr w:type="firstRow">
      <w:rPr>
        <w:b/>
        <w:bCs/>
        <w:color w:val="FFFFFF" w:themeColor="background1"/>
      </w:rPr>
      <w:tblPr/>
      <w:tcPr>
        <w:tcBorders>
          <w:bottom w:val="single" w:sz="12" w:space="0" w:color="FFFFFF" w:themeColor="background1"/>
        </w:tcBorders>
        <w:shd w:val="clear" w:color="auto" w:fill="B40028" w:themeFill="accent4" w:themeFillShade="CC"/>
      </w:tcPr>
    </w:tblStylePr>
    <w:tblStylePr w:type="lastRow">
      <w:rPr>
        <w:b/>
        <w:bCs/>
        <w:color w:val="B4002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D9FF" w:themeFill="accent3" w:themeFillTint="3F"/>
      </w:tcPr>
    </w:tblStylePr>
    <w:tblStylePr w:type="band1Horz">
      <w:tblPr/>
      <w:tcPr>
        <w:shd w:val="clear" w:color="auto" w:fill="C1E0FF" w:themeFill="accent3" w:themeFillTint="33"/>
      </w:tcPr>
    </w:tblStylePr>
  </w:style>
  <w:style w:type="table" w:styleId="ColorfulList-Accent4">
    <w:name w:val="Colorful List Accent 4"/>
    <w:basedOn w:val="TableNormal"/>
    <w:uiPriority w:val="72"/>
    <w:rsid w:val="004F5E0E"/>
    <w:pPr>
      <w:spacing w:after="0" w:line="240" w:lineRule="auto"/>
    </w:pPr>
    <w:rPr>
      <w:color w:val="000000" w:themeColor="text1"/>
    </w:rPr>
    <w:tblPr>
      <w:tblStyleRowBandSize w:val="1"/>
      <w:tblStyleColBandSize w:val="1"/>
    </w:tblPr>
    <w:tcPr>
      <w:shd w:val="clear" w:color="auto" w:fill="FFE3E9" w:themeFill="accent4" w:themeFillTint="19"/>
    </w:tcPr>
    <w:tblStylePr w:type="firstRow">
      <w:rPr>
        <w:b/>
        <w:bCs/>
        <w:color w:val="FFFFFF" w:themeColor="background1"/>
      </w:rPr>
      <w:tblPr/>
      <w:tcPr>
        <w:tcBorders>
          <w:bottom w:val="single" w:sz="12" w:space="0" w:color="FFFFFF" w:themeColor="background1"/>
        </w:tcBorders>
        <w:shd w:val="clear" w:color="auto" w:fill="0051A3" w:themeFill="accent3" w:themeFillShade="CC"/>
      </w:tcPr>
    </w:tblStylePr>
    <w:tblStylePr w:type="lastRow">
      <w:rPr>
        <w:b/>
        <w:bCs/>
        <w:color w:val="0051A3"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B8C8" w:themeFill="accent4" w:themeFillTint="3F"/>
      </w:tcPr>
    </w:tblStylePr>
    <w:tblStylePr w:type="band1Horz">
      <w:tblPr/>
      <w:tcPr>
        <w:shd w:val="clear" w:color="auto" w:fill="FFC6D2" w:themeFill="accent4" w:themeFillTint="33"/>
      </w:tcPr>
    </w:tblStylePr>
  </w:style>
  <w:style w:type="table" w:styleId="ColorfulList-Accent5">
    <w:name w:val="Colorful List Accent 5"/>
    <w:basedOn w:val="TableNormal"/>
    <w:uiPriority w:val="72"/>
    <w:rsid w:val="004F5E0E"/>
    <w:pPr>
      <w:spacing w:after="0" w:line="240" w:lineRule="auto"/>
    </w:pPr>
    <w:rPr>
      <w:color w:val="000000" w:themeColor="text1"/>
    </w:rPr>
    <w:tblPr>
      <w:tblStyleRowBandSize w:val="1"/>
      <w:tblStyleColBandSize w:val="1"/>
    </w:tblPr>
    <w:tcPr>
      <w:shd w:val="clear" w:color="auto" w:fill="FFF5E6" w:themeFill="accent5" w:themeFillTint="19"/>
    </w:tcPr>
    <w:tblStylePr w:type="firstRow">
      <w:rPr>
        <w:b/>
        <w:bCs/>
        <w:color w:val="FFFFFF" w:themeColor="background1"/>
      </w:rPr>
      <w:tblPr/>
      <w:tcPr>
        <w:tcBorders>
          <w:bottom w:val="single" w:sz="12" w:space="0" w:color="FFFFFF" w:themeColor="background1"/>
        </w:tcBorders>
        <w:shd w:val="clear" w:color="auto" w:fill="CCA300" w:themeFill="accent6" w:themeFillShade="CC"/>
      </w:tcPr>
    </w:tblStylePr>
    <w:tblStylePr w:type="lastRow">
      <w:rPr>
        <w:b/>
        <w:bCs/>
        <w:color w:val="CCA30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5C0" w:themeFill="accent5" w:themeFillTint="3F"/>
      </w:tcPr>
    </w:tblStylePr>
    <w:tblStylePr w:type="band1Horz">
      <w:tblPr/>
      <w:tcPr>
        <w:shd w:val="clear" w:color="auto" w:fill="FFEACC" w:themeFill="accent5" w:themeFillTint="33"/>
      </w:tcPr>
    </w:tblStylePr>
  </w:style>
  <w:style w:type="table" w:styleId="ColorfulList-Accent6">
    <w:name w:val="Colorful List Accent 6"/>
    <w:basedOn w:val="TableNormal"/>
    <w:uiPriority w:val="72"/>
    <w:rsid w:val="004F5E0E"/>
    <w:pPr>
      <w:spacing w:after="0" w:line="240" w:lineRule="auto"/>
    </w:pPr>
    <w:rPr>
      <w:color w:val="000000" w:themeColor="text1"/>
    </w:rPr>
    <w:tblPr>
      <w:tblStyleRowBandSize w:val="1"/>
      <w:tblStyleColBandSize w:val="1"/>
    </w:tblPr>
    <w:tcPr>
      <w:shd w:val="clear" w:color="auto" w:fill="FFFAE6" w:themeFill="accent6" w:themeFillTint="19"/>
    </w:tcPr>
    <w:tblStylePr w:type="firstRow">
      <w:rPr>
        <w:b/>
        <w:bCs/>
        <w:color w:val="FFFFFF" w:themeColor="background1"/>
      </w:rPr>
      <w:tblPr/>
      <w:tcPr>
        <w:tcBorders>
          <w:bottom w:val="single" w:sz="12" w:space="0" w:color="FFFFFF" w:themeColor="background1"/>
        </w:tcBorders>
        <w:shd w:val="clear" w:color="auto" w:fill="CC7A00" w:themeFill="accent5" w:themeFillShade="CC"/>
      </w:tcPr>
    </w:tblStylePr>
    <w:tblStylePr w:type="lastRow">
      <w:rPr>
        <w:b/>
        <w:bCs/>
        <w:color w:val="CC7A0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F2C0" w:themeFill="accent6" w:themeFillTint="3F"/>
      </w:tcPr>
    </w:tblStylePr>
    <w:tblStylePr w:type="band1Horz">
      <w:tblPr/>
      <w:tcPr>
        <w:shd w:val="clear" w:color="auto" w:fill="FFF4CC" w:themeFill="accent6" w:themeFillTint="33"/>
      </w:tcPr>
    </w:tblStylePr>
  </w:style>
  <w:style w:type="table" w:styleId="ColorfulShading">
    <w:name w:val="Colorful Shading"/>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009CE5" w:themeColor="accent1"/>
        <w:bottom w:val="single" w:sz="4" w:space="0" w:color="009CE5" w:themeColor="accent1"/>
        <w:right w:val="single" w:sz="4" w:space="0" w:color="009CE5" w:themeColor="accent1"/>
        <w:insideH w:val="single" w:sz="4" w:space="0" w:color="FFFFFF" w:themeColor="background1"/>
        <w:insideV w:val="single" w:sz="4" w:space="0" w:color="FFFFFF" w:themeColor="background1"/>
      </w:tblBorders>
    </w:tblPr>
    <w:tcPr>
      <w:shd w:val="clear" w:color="auto" w:fill="E3F6FF" w:themeFill="accent1"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5D89" w:themeFill="accent1" w:themeFillShade="99"/>
      </w:tcPr>
    </w:tblStylePr>
    <w:tblStylePr w:type="firstCol">
      <w:rPr>
        <w:color w:val="FFFFFF" w:themeColor="background1"/>
      </w:rPr>
      <w:tblPr/>
      <w:tcPr>
        <w:tcBorders>
          <w:top w:val="nil"/>
          <w:left w:val="nil"/>
          <w:bottom w:val="nil"/>
          <w:right w:val="nil"/>
          <w:insideH w:val="single" w:sz="4" w:space="0" w:color="005D89" w:themeColor="accent1" w:themeShade="99"/>
          <w:insideV w:val="nil"/>
        </w:tcBorders>
        <w:shd w:val="clear" w:color="auto" w:fill="005D89"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5D89" w:themeFill="accent1" w:themeFillShade="99"/>
      </w:tcPr>
    </w:tblStylePr>
    <w:tblStylePr w:type="band1Vert">
      <w:tblPr/>
      <w:tcPr>
        <w:shd w:val="clear" w:color="auto" w:fill="8EDAFF" w:themeFill="accent1" w:themeFillTint="66"/>
      </w:tcPr>
    </w:tblStylePr>
    <w:tblStylePr w:type="band1Horz">
      <w:tblPr/>
      <w:tcPr>
        <w:shd w:val="clear" w:color="auto" w:fill="73D1FF"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F5E0E"/>
    <w:pPr>
      <w:spacing w:after="0" w:line="240" w:lineRule="auto"/>
    </w:pPr>
    <w:rPr>
      <w:color w:val="000000" w:themeColor="text1"/>
    </w:rPr>
    <w:tblPr>
      <w:tblStyleRowBandSize w:val="1"/>
      <w:tblStyleColBandSize w:val="1"/>
      <w:tblBorders>
        <w:top w:val="single" w:sz="24" w:space="0" w:color="C79000" w:themeColor="accent2"/>
        <w:left w:val="single" w:sz="4" w:space="0" w:color="C79000" w:themeColor="accent2"/>
        <w:bottom w:val="single" w:sz="4" w:space="0" w:color="C79000" w:themeColor="accent2"/>
        <w:right w:val="single" w:sz="4" w:space="0" w:color="C79000" w:themeColor="accent2"/>
        <w:insideH w:val="single" w:sz="4" w:space="0" w:color="FFFFFF" w:themeColor="background1"/>
        <w:insideV w:val="single" w:sz="4" w:space="0" w:color="FFFFFF" w:themeColor="background1"/>
      </w:tblBorders>
    </w:tblPr>
    <w:tcPr>
      <w:shd w:val="clear" w:color="auto" w:fill="FFF6E0" w:themeFill="accent2" w:themeFillTint="19"/>
    </w:tcPr>
    <w:tblStylePr w:type="firstRow">
      <w:rPr>
        <w:b/>
        <w:bCs/>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5600" w:themeFill="accent2" w:themeFillShade="99"/>
      </w:tcPr>
    </w:tblStylePr>
    <w:tblStylePr w:type="firstCol">
      <w:rPr>
        <w:color w:val="FFFFFF" w:themeColor="background1"/>
      </w:rPr>
      <w:tblPr/>
      <w:tcPr>
        <w:tcBorders>
          <w:top w:val="nil"/>
          <w:left w:val="nil"/>
          <w:bottom w:val="nil"/>
          <w:right w:val="nil"/>
          <w:insideH w:val="single" w:sz="4" w:space="0" w:color="775600" w:themeColor="accent2" w:themeShade="99"/>
          <w:insideV w:val="nil"/>
        </w:tcBorders>
        <w:shd w:val="clear" w:color="auto" w:fill="7756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5600" w:themeFill="accent2" w:themeFillShade="99"/>
      </w:tcPr>
    </w:tblStylePr>
    <w:tblStylePr w:type="band1Vert">
      <w:tblPr/>
      <w:tcPr>
        <w:shd w:val="clear" w:color="auto" w:fill="FFDC82" w:themeFill="accent2" w:themeFillTint="66"/>
      </w:tcPr>
    </w:tblStylePr>
    <w:tblStylePr w:type="band1Horz">
      <w:tblPr/>
      <w:tcPr>
        <w:shd w:val="clear" w:color="auto" w:fill="FFD36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F5E0E"/>
    <w:pPr>
      <w:spacing w:after="0" w:line="240" w:lineRule="auto"/>
    </w:pPr>
    <w:rPr>
      <w:color w:val="000000" w:themeColor="text1"/>
    </w:rPr>
    <w:tblPr>
      <w:tblStyleRowBandSize w:val="1"/>
      <w:tblStyleColBandSize w:val="1"/>
      <w:tblBorders>
        <w:top w:val="single" w:sz="24" w:space="0" w:color="E20033" w:themeColor="accent4"/>
        <w:left w:val="single" w:sz="4" w:space="0" w:color="0066CC" w:themeColor="accent3"/>
        <w:bottom w:val="single" w:sz="4" w:space="0" w:color="0066CC" w:themeColor="accent3"/>
        <w:right w:val="single" w:sz="4" w:space="0" w:color="0066CC" w:themeColor="accent3"/>
        <w:insideH w:val="single" w:sz="4" w:space="0" w:color="FFFFFF" w:themeColor="background1"/>
        <w:insideV w:val="single" w:sz="4" w:space="0" w:color="FFFFFF" w:themeColor="background1"/>
      </w:tblBorders>
    </w:tblPr>
    <w:tcPr>
      <w:shd w:val="clear" w:color="auto" w:fill="E1EFFF" w:themeFill="accent3" w:themeFillTint="19"/>
    </w:tcPr>
    <w:tblStylePr w:type="firstRow">
      <w:rPr>
        <w:b/>
        <w:bCs/>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C7A" w:themeFill="accent3" w:themeFillShade="99"/>
      </w:tcPr>
    </w:tblStylePr>
    <w:tblStylePr w:type="firstCol">
      <w:rPr>
        <w:color w:val="FFFFFF" w:themeColor="background1"/>
      </w:rPr>
      <w:tblPr/>
      <w:tcPr>
        <w:tcBorders>
          <w:top w:val="nil"/>
          <w:left w:val="nil"/>
          <w:bottom w:val="nil"/>
          <w:right w:val="nil"/>
          <w:insideH w:val="single" w:sz="4" w:space="0" w:color="003C7A" w:themeColor="accent3" w:themeShade="99"/>
          <w:insideV w:val="nil"/>
        </w:tcBorders>
        <w:shd w:val="clear" w:color="auto" w:fill="003C7A"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3C7A" w:themeFill="accent3" w:themeFillShade="99"/>
      </w:tcPr>
    </w:tblStylePr>
    <w:tblStylePr w:type="band1Vert">
      <w:tblPr/>
      <w:tcPr>
        <w:shd w:val="clear" w:color="auto" w:fill="84C1FF" w:themeFill="accent3" w:themeFillTint="66"/>
      </w:tcPr>
    </w:tblStylePr>
    <w:tblStylePr w:type="band1Horz">
      <w:tblPr/>
      <w:tcPr>
        <w:shd w:val="clear" w:color="auto" w:fill="66B2FF" w:themeFill="accent3" w:themeFillTint="7F"/>
      </w:tcPr>
    </w:tblStylePr>
  </w:style>
  <w:style w:type="table" w:styleId="ColorfulShading-Accent4">
    <w:name w:val="Colorful Shading Accent 4"/>
    <w:basedOn w:val="TableNormal"/>
    <w:uiPriority w:val="71"/>
    <w:rsid w:val="004F5E0E"/>
    <w:pPr>
      <w:spacing w:after="0" w:line="240" w:lineRule="auto"/>
    </w:pPr>
    <w:rPr>
      <w:color w:val="000000" w:themeColor="text1"/>
    </w:rPr>
    <w:tblPr>
      <w:tblStyleRowBandSize w:val="1"/>
      <w:tblStyleColBandSize w:val="1"/>
      <w:tblBorders>
        <w:top w:val="single" w:sz="24" w:space="0" w:color="0066CC" w:themeColor="accent3"/>
        <w:left w:val="single" w:sz="4" w:space="0" w:color="E20033" w:themeColor="accent4"/>
        <w:bottom w:val="single" w:sz="4" w:space="0" w:color="E20033" w:themeColor="accent4"/>
        <w:right w:val="single" w:sz="4" w:space="0" w:color="E20033" w:themeColor="accent4"/>
        <w:insideH w:val="single" w:sz="4" w:space="0" w:color="FFFFFF" w:themeColor="background1"/>
        <w:insideV w:val="single" w:sz="4" w:space="0" w:color="FFFFFF" w:themeColor="background1"/>
      </w:tblBorders>
    </w:tblPr>
    <w:tcPr>
      <w:shd w:val="clear" w:color="auto" w:fill="FFE3E9" w:themeFill="accent4" w:themeFillTint="19"/>
    </w:tcPr>
    <w:tblStylePr w:type="firstRow">
      <w:rPr>
        <w:b/>
        <w:bCs/>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7001E" w:themeFill="accent4" w:themeFillShade="99"/>
      </w:tcPr>
    </w:tblStylePr>
    <w:tblStylePr w:type="firstCol">
      <w:rPr>
        <w:color w:val="FFFFFF" w:themeColor="background1"/>
      </w:rPr>
      <w:tblPr/>
      <w:tcPr>
        <w:tcBorders>
          <w:top w:val="nil"/>
          <w:left w:val="nil"/>
          <w:bottom w:val="nil"/>
          <w:right w:val="nil"/>
          <w:insideH w:val="single" w:sz="4" w:space="0" w:color="87001E" w:themeColor="accent4" w:themeShade="99"/>
          <w:insideV w:val="nil"/>
        </w:tcBorders>
        <w:shd w:val="clear" w:color="auto" w:fill="87001E"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7001E" w:themeFill="accent4" w:themeFillShade="99"/>
      </w:tcPr>
    </w:tblStylePr>
    <w:tblStylePr w:type="band1Vert">
      <w:tblPr/>
      <w:tcPr>
        <w:shd w:val="clear" w:color="auto" w:fill="FF8DA6" w:themeFill="accent4" w:themeFillTint="66"/>
      </w:tcPr>
    </w:tblStylePr>
    <w:tblStylePr w:type="band1Horz">
      <w:tblPr/>
      <w:tcPr>
        <w:shd w:val="clear" w:color="auto" w:fill="FF7191"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F5E0E"/>
    <w:pPr>
      <w:spacing w:after="0" w:line="240" w:lineRule="auto"/>
    </w:pPr>
    <w:rPr>
      <w:color w:val="000000" w:themeColor="text1"/>
    </w:rPr>
    <w:tblPr>
      <w:tblStyleRowBandSize w:val="1"/>
      <w:tblStyleColBandSize w:val="1"/>
      <w:tblBorders>
        <w:top w:val="single" w:sz="24" w:space="0" w:color="FFCC00" w:themeColor="accent6"/>
        <w:left w:val="single" w:sz="4" w:space="0" w:color="FF9900" w:themeColor="accent5"/>
        <w:bottom w:val="single" w:sz="4" w:space="0" w:color="FF9900" w:themeColor="accent5"/>
        <w:right w:val="single" w:sz="4" w:space="0" w:color="FF9900" w:themeColor="accent5"/>
        <w:insideH w:val="single" w:sz="4" w:space="0" w:color="FFFFFF" w:themeColor="background1"/>
        <w:insideV w:val="single" w:sz="4" w:space="0" w:color="FFFFFF" w:themeColor="background1"/>
      </w:tblBorders>
    </w:tblPr>
    <w:tcPr>
      <w:shd w:val="clear" w:color="auto" w:fill="FFF5E6" w:themeFill="accent5" w:themeFillTint="19"/>
    </w:tcPr>
    <w:tblStylePr w:type="firstRow">
      <w:rPr>
        <w:b/>
        <w:bCs/>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5B00" w:themeFill="accent5" w:themeFillShade="99"/>
      </w:tcPr>
    </w:tblStylePr>
    <w:tblStylePr w:type="firstCol">
      <w:rPr>
        <w:color w:val="FFFFFF" w:themeColor="background1"/>
      </w:rPr>
      <w:tblPr/>
      <w:tcPr>
        <w:tcBorders>
          <w:top w:val="nil"/>
          <w:left w:val="nil"/>
          <w:bottom w:val="nil"/>
          <w:right w:val="nil"/>
          <w:insideH w:val="single" w:sz="4" w:space="0" w:color="995B00" w:themeColor="accent5" w:themeShade="99"/>
          <w:insideV w:val="nil"/>
        </w:tcBorders>
        <w:shd w:val="clear" w:color="auto" w:fill="995B00"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995B00" w:themeFill="accent5" w:themeFillShade="99"/>
      </w:tcPr>
    </w:tblStylePr>
    <w:tblStylePr w:type="band1Vert">
      <w:tblPr/>
      <w:tcPr>
        <w:shd w:val="clear" w:color="auto" w:fill="FFD699" w:themeFill="accent5" w:themeFillTint="66"/>
      </w:tcPr>
    </w:tblStylePr>
    <w:tblStylePr w:type="band1Horz">
      <w:tblPr/>
      <w:tcPr>
        <w:shd w:val="clear" w:color="auto" w:fill="FFCC8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F5E0E"/>
    <w:pPr>
      <w:spacing w:after="0" w:line="240" w:lineRule="auto"/>
    </w:pPr>
    <w:rPr>
      <w:color w:val="000000" w:themeColor="text1"/>
    </w:rPr>
    <w:tblPr>
      <w:tblStyleRowBandSize w:val="1"/>
      <w:tblStyleColBandSize w:val="1"/>
      <w:tblBorders>
        <w:top w:val="single" w:sz="24" w:space="0" w:color="FF9900" w:themeColor="accent5"/>
        <w:left w:val="single" w:sz="4" w:space="0" w:color="FFCC00" w:themeColor="accent6"/>
        <w:bottom w:val="single" w:sz="4" w:space="0" w:color="FFCC00" w:themeColor="accent6"/>
        <w:right w:val="single" w:sz="4" w:space="0" w:color="FFCC00" w:themeColor="accent6"/>
        <w:insideH w:val="single" w:sz="4" w:space="0" w:color="FFFFFF" w:themeColor="background1"/>
        <w:insideV w:val="single" w:sz="4" w:space="0" w:color="FFFFFF" w:themeColor="background1"/>
      </w:tblBorders>
    </w:tblPr>
    <w:tcPr>
      <w:shd w:val="clear" w:color="auto" w:fill="FFFAE6" w:themeFill="accent6" w:themeFillTint="19"/>
    </w:tcPr>
    <w:tblStylePr w:type="firstRow">
      <w:rPr>
        <w:b/>
        <w:bCs/>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A00" w:themeFill="accent6" w:themeFillShade="99"/>
      </w:tcPr>
    </w:tblStylePr>
    <w:tblStylePr w:type="firstCol">
      <w:rPr>
        <w:color w:val="FFFFFF" w:themeColor="background1"/>
      </w:rPr>
      <w:tblPr/>
      <w:tcPr>
        <w:tcBorders>
          <w:top w:val="nil"/>
          <w:left w:val="nil"/>
          <w:bottom w:val="nil"/>
          <w:right w:val="nil"/>
          <w:insideH w:val="single" w:sz="4" w:space="0" w:color="997A00" w:themeColor="accent6" w:themeShade="99"/>
          <w:insideV w:val="nil"/>
        </w:tcBorders>
        <w:shd w:val="clear" w:color="auto" w:fill="997A00"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997A00" w:themeFill="accent6" w:themeFillShade="99"/>
      </w:tcPr>
    </w:tblStylePr>
    <w:tblStylePr w:type="band1Vert">
      <w:tblPr/>
      <w:tcPr>
        <w:shd w:val="clear" w:color="auto" w:fill="FFEA99" w:themeFill="accent6" w:themeFillTint="66"/>
      </w:tcPr>
    </w:tblStylePr>
    <w:tblStylePr w:type="band1Horz">
      <w:tblPr/>
      <w:tcPr>
        <w:shd w:val="clear" w:color="auto" w:fill="FFE580"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4F5E0E"/>
    <w:rPr>
      <w:sz w:val="16"/>
      <w:szCs w:val="16"/>
    </w:rPr>
  </w:style>
  <w:style w:type="paragraph" w:styleId="CommentText">
    <w:name w:val="annotation text"/>
    <w:basedOn w:val="Normal"/>
    <w:link w:val="CommentTextChar"/>
    <w:uiPriority w:val="99"/>
    <w:semiHidden/>
    <w:rsid w:val="004F5E0E"/>
    <w:pPr>
      <w:spacing w:line="240" w:lineRule="auto"/>
    </w:pPr>
    <w:rPr>
      <w:sz w:val="20"/>
    </w:rPr>
  </w:style>
  <w:style w:type="character" w:customStyle="1" w:styleId="CommentTextChar">
    <w:name w:val="Comment Text Char"/>
    <w:basedOn w:val="DefaultParagraphFont"/>
    <w:link w:val="CommentText"/>
    <w:uiPriority w:val="99"/>
    <w:semiHidden/>
    <w:rsid w:val="004F5E0E"/>
    <w:rPr>
      <w:rFonts w:ascii="Arial" w:eastAsia="Arial" w:hAnsi="Arial" w:cs="Times New Roman"/>
      <w:szCs w:val="22"/>
      <w:lang w:val="en-US"/>
    </w:rPr>
  </w:style>
  <w:style w:type="paragraph" w:styleId="CommentSubject">
    <w:name w:val="annotation subject"/>
    <w:basedOn w:val="CommentText"/>
    <w:next w:val="CommentText"/>
    <w:link w:val="CommentSubjectChar"/>
    <w:uiPriority w:val="99"/>
    <w:semiHidden/>
    <w:rsid w:val="004F5E0E"/>
    <w:rPr>
      <w:b/>
      <w:bCs/>
    </w:rPr>
  </w:style>
  <w:style w:type="character" w:customStyle="1" w:styleId="CommentSubjectChar">
    <w:name w:val="Comment Subject Char"/>
    <w:basedOn w:val="CommentTextChar"/>
    <w:link w:val="CommentSubject"/>
    <w:uiPriority w:val="99"/>
    <w:semiHidden/>
    <w:rsid w:val="004F5E0E"/>
    <w:rPr>
      <w:rFonts w:ascii="Arial" w:eastAsia="Arial" w:hAnsi="Arial" w:cs="Times New Roman"/>
      <w:b/>
      <w:bCs/>
      <w:szCs w:val="22"/>
      <w:lang w:val="en-US"/>
    </w:rPr>
  </w:style>
  <w:style w:type="table" w:styleId="DarkList">
    <w:name w:val="Dark List"/>
    <w:basedOn w:val="TableNormal"/>
    <w:uiPriority w:val="70"/>
    <w:rsid w:val="004F5E0E"/>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F5E0E"/>
    <w:pPr>
      <w:spacing w:after="0" w:line="240" w:lineRule="auto"/>
    </w:pPr>
    <w:rPr>
      <w:color w:val="FFFFFF" w:themeColor="background1"/>
    </w:rPr>
    <w:tblPr>
      <w:tblStyleRowBandSize w:val="1"/>
      <w:tblStyleColBandSize w:val="1"/>
    </w:tblPr>
    <w:tcPr>
      <w:shd w:val="clear" w:color="auto" w:fill="009CE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4D7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74AB"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74AB" w:themeFill="accent1" w:themeFillShade="BF"/>
      </w:tcPr>
    </w:tblStylePr>
    <w:tblStylePr w:type="band1Vert">
      <w:tblPr/>
      <w:tcPr>
        <w:tcBorders>
          <w:top w:val="nil"/>
          <w:left w:val="nil"/>
          <w:bottom w:val="nil"/>
          <w:right w:val="nil"/>
          <w:insideH w:val="nil"/>
          <w:insideV w:val="nil"/>
        </w:tcBorders>
        <w:shd w:val="clear" w:color="auto" w:fill="0074AB" w:themeFill="accent1" w:themeFillShade="BF"/>
      </w:tcPr>
    </w:tblStylePr>
    <w:tblStylePr w:type="band1Horz">
      <w:tblPr/>
      <w:tcPr>
        <w:tcBorders>
          <w:top w:val="nil"/>
          <w:left w:val="nil"/>
          <w:bottom w:val="nil"/>
          <w:right w:val="nil"/>
          <w:insideH w:val="nil"/>
          <w:insideV w:val="nil"/>
        </w:tcBorders>
        <w:shd w:val="clear" w:color="auto" w:fill="0074AB" w:themeFill="accent1" w:themeFillShade="BF"/>
      </w:tcPr>
    </w:tblStylePr>
  </w:style>
  <w:style w:type="table" w:styleId="DarkList-Accent2">
    <w:name w:val="Dark List Accent 2"/>
    <w:basedOn w:val="TableNormal"/>
    <w:uiPriority w:val="70"/>
    <w:rsid w:val="004F5E0E"/>
    <w:pPr>
      <w:spacing w:after="0" w:line="240" w:lineRule="auto"/>
    </w:pPr>
    <w:rPr>
      <w:color w:val="FFFFFF" w:themeColor="background1"/>
    </w:rPr>
    <w:tblPr>
      <w:tblStyleRowBandSize w:val="1"/>
      <w:tblStyleColBandSize w:val="1"/>
    </w:tblPr>
    <w:tcPr>
      <w:shd w:val="clear" w:color="auto" w:fill="C79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47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6B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6B00" w:themeFill="accent2" w:themeFillShade="BF"/>
      </w:tcPr>
    </w:tblStylePr>
    <w:tblStylePr w:type="band1Vert">
      <w:tblPr/>
      <w:tcPr>
        <w:tcBorders>
          <w:top w:val="nil"/>
          <w:left w:val="nil"/>
          <w:bottom w:val="nil"/>
          <w:right w:val="nil"/>
          <w:insideH w:val="nil"/>
          <w:insideV w:val="nil"/>
        </w:tcBorders>
        <w:shd w:val="clear" w:color="auto" w:fill="956B00" w:themeFill="accent2" w:themeFillShade="BF"/>
      </w:tcPr>
    </w:tblStylePr>
    <w:tblStylePr w:type="band1Horz">
      <w:tblPr/>
      <w:tcPr>
        <w:tcBorders>
          <w:top w:val="nil"/>
          <w:left w:val="nil"/>
          <w:bottom w:val="nil"/>
          <w:right w:val="nil"/>
          <w:insideH w:val="nil"/>
          <w:insideV w:val="nil"/>
        </w:tcBorders>
        <w:shd w:val="clear" w:color="auto" w:fill="956B00" w:themeFill="accent2" w:themeFillShade="BF"/>
      </w:tcPr>
    </w:tblStylePr>
  </w:style>
  <w:style w:type="table" w:styleId="DarkList-Accent3">
    <w:name w:val="Dark List Accent 3"/>
    <w:basedOn w:val="TableNormal"/>
    <w:uiPriority w:val="70"/>
    <w:rsid w:val="004F5E0E"/>
    <w:pPr>
      <w:spacing w:after="0" w:line="240" w:lineRule="auto"/>
    </w:pPr>
    <w:rPr>
      <w:color w:val="FFFFFF" w:themeColor="background1"/>
    </w:rPr>
    <w:tblPr>
      <w:tblStyleRowBandSize w:val="1"/>
      <w:tblStyleColBandSize w:val="1"/>
    </w:tblPr>
    <w:tcPr>
      <w:shd w:val="clear" w:color="auto" w:fill="0066CC"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265"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4C98"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4C98" w:themeFill="accent3" w:themeFillShade="BF"/>
      </w:tcPr>
    </w:tblStylePr>
    <w:tblStylePr w:type="band1Vert">
      <w:tblPr/>
      <w:tcPr>
        <w:tcBorders>
          <w:top w:val="nil"/>
          <w:left w:val="nil"/>
          <w:bottom w:val="nil"/>
          <w:right w:val="nil"/>
          <w:insideH w:val="nil"/>
          <w:insideV w:val="nil"/>
        </w:tcBorders>
        <w:shd w:val="clear" w:color="auto" w:fill="004C98" w:themeFill="accent3" w:themeFillShade="BF"/>
      </w:tcPr>
    </w:tblStylePr>
    <w:tblStylePr w:type="band1Horz">
      <w:tblPr/>
      <w:tcPr>
        <w:tcBorders>
          <w:top w:val="nil"/>
          <w:left w:val="nil"/>
          <w:bottom w:val="nil"/>
          <w:right w:val="nil"/>
          <w:insideH w:val="nil"/>
          <w:insideV w:val="nil"/>
        </w:tcBorders>
        <w:shd w:val="clear" w:color="auto" w:fill="004C98" w:themeFill="accent3" w:themeFillShade="BF"/>
      </w:tcPr>
    </w:tblStylePr>
  </w:style>
  <w:style w:type="table" w:styleId="DarkList-Accent4">
    <w:name w:val="Dark List Accent 4"/>
    <w:basedOn w:val="TableNormal"/>
    <w:uiPriority w:val="70"/>
    <w:rsid w:val="004F5E0E"/>
    <w:pPr>
      <w:spacing w:after="0" w:line="240" w:lineRule="auto"/>
    </w:pPr>
    <w:rPr>
      <w:color w:val="FFFFFF" w:themeColor="background1"/>
    </w:rPr>
    <w:tblPr>
      <w:tblStyleRowBandSize w:val="1"/>
      <w:tblStyleColBandSize w:val="1"/>
    </w:tblPr>
    <w:tcPr>
      <w:shd w:val="clear" w:color="auto" w:fill="E20033"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0001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90025"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90025" w:themeFill="accent4" w:themeFillShade="BF"/>
      </w:tcPr>
    </w:tblStylePr>
    <w:tblStylePr w:type="band1Vert">
      <w:tblPr/>
      <w:tcPr>
        <w:tcBorders>
          <w:top w:val="nil"/>
          <w:left w:val="nil"/>
          <w:bottom w:val="nil"/>
          <w:right w:val="nil"/>
          <w:insideH w:val="nil"/>
          <w:insideV w:val="nil"/>
        </w:tcBorders>
        <w:shd w:val="clear" w:color="auto" w:fill="A90025" w:themeFill="accent4" w:themeFillShade="BF"/>
      </w:tcPr>
    </w:tblStylePr>
    <w:tblStylePr w:type="band1Horz">
      <w:tblPr/>
      <w:tcPr>
        <w:tcBorders>
          <w:top w:val="nil"/>
          <w:left w:val="nil"/>
          <w:bottom w:val="nil"/>
          <w:right w:val="nil"/>
          <w:insideH w:val="nil"/>
          <w:insideV w:val="nil"/>
        </w:tcBorders>
        <w:shd w:val="clear" w:color="auto" w:fill="A90025" w:themeFill="accent4" w:themeFillShade="BF"/>
      </w:tcPr>
    </w:tblStylePr>
  </w:style>
  <w:style w:type="table" w:styleId="DarkList-Accent5">
    <w:name w:val="Dark List Accent 5"/>
    <w:basedOn w:val="TableNormal"/>
    <w:uiPriority w:val="70"/>
    <w:rsid w:val="004F5E0E"/>
    <w:pPr>
      <w:spacing w:after="0" w:line="240" w:lineRule="auto"/>
    </w:pPr>
    <w:rPr>
      <w:color w:val="FFFFFF" w:themeColor="background1"/>
    </w:rPr>
    <w:tblPr>
      <w:tblStyleRowBandSize w:val="1"/>
      <w:tblStyleColBandSize w:val="1"/>
    </w:tblPr>
    <w:tcPr>
      <w:shd w:val="clear" w:color="auto" w:fill="FF9900"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4C0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BF7200"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BF7200" w:themeFill="accent5" w:themeFillShade="BF"/>
      </w:tcPr>
    </w:tblStylePr>
    <w:tblStylePr w:type="band1Vert">
      <w:tblPr/>
      <w:tcPr>
        <w:tcBorders>
          <w:top w:val="nil"/>
          <w:left w:val="nil"/>
          <w:bottom w:val="nil"/>
          <w:right w:val="nil"/>
          <w:insideH w:val="nil"/>
          <w:insideV w:val="nil"/>
        </w:tcBorders>
        <w:shd w:val="clear" w:color="auto" w:fill="BF7200" w:themeFill="accent5" w:themeFillShade="BF"/>
      </w:tcPr>
    </w:tblStylePr>
    <w:tblStylePr w:type="band1Horz">
      <w:tblPr/>
      <w:tcPr>
        <w:tcBorders>
          <w:top w:val="nil"/>
          <w:left w:val="nil"/>
          <w:bottom w:val="nil"/>
          <w:right w:val="nil"/>
          <w:insideH w:val="nil"/>
          <w:insideV w:val="nil"/>
        </w:tcBorders>
        <w:shd w:val="clear" w:color="auto" w:fill="BF7200" w:themeFill="accent5" w:themeFillShade="BF"/>
      </w:tcPr>
    </w:tblStylePr>
  </w:style>
  <w:style w:type="table" w:styleId="DarkList-Accent6">
    <w:name w:val="Dark List Accent 6"/>
    <w:basedOn w:val="TableNormal"/>
    <w:uiPriority w:val="70"/>
    <w:rsid w:val="004F5E0E"/>
    <w:pPr>
      <w:spacing w:after="0" w:line="240" w:lineRule="auto"/>
    </w:pPr>
    <w:rPr>
      <w:color w:val="FFFFFF" w:themeColor="background1"/>
    </w:rPr>
    <w:tblPr>
      <w:tblStyleRowBandSize w:val="1"/>
      <w:tblStyleColBandSize w:val="1"/>
    </w:tblPr>
    <w:tcPr>
      <w:shd w:val="clear" w:color="auto" w:fill="FFCC00"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6500"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BF9800"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BF9800" w:themeFill="accent6" w:themeFillShade="BF"/>
      </w:tcPr>
    </w:tblStylePr>
    <w:tblStylePr w:type="band1Vert">
      <w:tblPr/>
      <w:tcPr>
        <w:tcBorders>
          <w:top w:val="nil"/>
          <w:left w:val="nil"/>
          <w:bottom w:val="nil"/>
          <w:right w:val="nil"/>
          <w:insideH w:val="nil"/>
          <w:insideV w:val="nil"/>
        </w:tcBorders>
        <w:shd w:val="clear" w:color="auto" w:fill="BF9800" w:themeFill="accent6" w:themeFillShade="BF"/>
      </w:tcPr>
    </w:tblStylePr>
    <w:tblStylePr w:type="band1Horz">
      <w:tblPr/>
      <w:tcPr>
        <w:tcBorders>
          <w:top w:val="nil"/>
          <w:left w:val="nil"/>
          <w:bottom w:val="nil"/>
          <w:right w:val="nil"/>
          <w:insideH w:val="nil"/>
          <w:insideV w:val="nil"/>
        </w:tcBorders>
        <w:shd w:val="clear" w:color="auto" w:fill="BF9800" w:themeFill="accent6" w:themeFillShade="BF"/>
      </w:tcPr>
    </w:tblStylePr>
  </w:style>
  <w:style w:type="paragraph" w:styleId="Date">
    <w:name w:val="Date"/>
    <w:basedOn w:val="Normal"/>
    <w:next w:val="Normal"/>
    <w:link w:val="DateChar"/>
    <w:uiPriority w:val="99"/>
    <w:semiHidden/>
    <w:rsid w:val="004F5E0E"/>
  </w:style>
  <w:style w:type="character" w:customStyle="1" w:styleId="DateChar">
    <w:name w:val="Date Char"/>
    <w:basedOn w:val="DefaultParagraphFont"/>
    <w:link w:val="Date"/>
    <w:uiPriority w:val="99"/>
    <w:semiHidden/>
    <w:rsid w:val="004F5E0E"/>
    <w:rPr>
      <w:rFonts w:ascii="Arial" w:eastAsia="Arial" w:hAnsi="Arial" w:cs="Times New Roman"/>
      <w:sz w:val="15"/>
      <w:szCs w:val="22"/>
      <w:lang w:val="en-US"/>
    </w:rPr>
  </w:style>
  <w:style w:type="paragraph" w:styleId="DocumentMap">
    <w:name w:val="Document Map"/>
    <w:basedOn w:val="Normal"/>
    <w:link w:val="DocumentMapChar"/>
    <w:uiPriority w:val="99"/>
    <w:semiHidden/>
    <w:rsid w:val="004F5E0E"/>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F5E0E"/>
    <w:rPr>
      <w:rFonts w:ascii="Tahoma" w:eastAsia="Arial" w:hAnsi="Tahoma" w:cs="Tahoma"/>
      <w:sz w:val="16"/>
      <w:szCs w:val="16"/>
      <w:lang w:val="en-US"/>
    </w:rPr>
  </w:style>
  <w:style w:type="paragraph" w:styleId="E-mailSignature">
    <w:name w:val="E-mail Signature"/>
    <w:basedOn w:val="Normal"/>
    <w:link w:val="E-mailSignatureChar"/>
    <w:uiPriority w:val="99"/>
    <w:semiHidden/>
    <w:rsid w:val="004F5E0E"/>
    <w:pPr>
      <w:spacing w:line="240" w:lineRule="auto"/>
    </w:pPr>
  </w:style>
  <w:style w:type="character" w:customStyle="1" w:styleId="E-mailSignatureChar">
    <w:name w:val="E-mail Signature Char"/>
    <w:basedOn w:val="DefaultParagraphFont"/>
    <w:link w:val="E-mailSignature"/>
    <w:uiPriority w:val="99"/>
    <w:semiHidden/>
    <w:rsid w:val="004F5E0E"/>
    <w:rPr>
      <w:rFonts w:ascii="Arial" w:eastAsia="Arial" w:hAnsi="Arial" w:cs="Times New Roman"/>
      <w:sz w:val="15"/>
      <w:szCs w:val="22"/>
      <w:lang w:val="en-US"/>
    </w:rPr>
  </w:style>
  <w:style w:type="character" w:styleId="EndnoteReference">
    <w:name w:val="endnote reference"/>
    <w:basedOn w:val="DefaultParagraphFont"/>
    <w:uiPriority w:val="99"/>
    <w:semiHidden/>
    <w:rsid w:val="004F5E0E"/>
    <w:rPr>
      <w:vertAlign w:val="superscript"/>
    </w:rPr>
  </w:style>
  <w:style w:type="paragraph" w:styleId="EndnoteText">
    <w:name w:val="endnote text"/>
    <w:basedOn w:val="Normal"/>
    <w:link w:val="EndnoteTextChar"/>
    <w:uiPriority w:val="99"/>
    <w:semiHidden/>
    <w:rsid w:val="004F5E0E"/>
    <w:pPr>
      <w:spacing w:line="240" w:lineRule="auto"/>
    </w:pPr>
    <w:rPr>
      <w:sz w:val="20"/>
    </w:rPr>
  </w:style>
  <w:style w:type="character" w:customStyle="1" w:styleId="EndnoteTextChar">
    <w:name w:val="Endnote Text Char"/>
    <w:basedOn w:val="DefaultParagraphFont"/>
    <w:link w:val="EndnoteText"/>
    <w:uiPriority w:val="99"/>
    <w:semiHidden/>
    <w:rsid w:val="004F5E0E"/>
    <w:rPr>
      <w:rFonts w:ascii="Arial" w:eastAsia="Arial" w:hAnsi="Arial" w:cs="Times New Roman"/>
      <w:szCs w:val="22"/>
      <w:lang w:val="en-US"/>
    </w:rPr>
  </w:style>
  <w:style w:type="paragraph" w:styleId="EnvelopeAddress">
    <w:name w:val="envelope address"/>
    <w:basedOn w:val="Normal"/>
    <w:uiPriority w:val="99"/>
    <w:semiHidden/>
    <w:rsid w:val="004F5E0E"/>
    <w:pPr>
      <w:framePr w:w="7920" w:h="1980" w:hRule="exact" w:hSpace="180" w:wrap="auto" w:hAnchor="page" w:xAlign="center" w:yAlign="bottom"/>
      <w:spacing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4F5E0E"/>
    <w:pPr>
      <w:spacing w:line="240" w:lineRule="auto"/>
    </w:pPr>
    <w:rPr>
      <w:rFonts w:asciiTheme="majorHAnsi" w:eastAsiaTheme="majorEastAsia" w:hAnsiTheme="majorHAnsi" w:cstheme="majorBidi"/>
      <w:sz w:val="20"/>
    </w:rPr>
  </w:style>
  <w:style w:type="character" w:styleId="FollowedHyperlink">
    <w:name w:val="FollowedHyperlink"/>
    <w:basedOn w:val="DefaultParagraphFont"/>
    <w:uiPriority w:val="99"/>
    <w:semiHidden/>
    <w:rsid w:val="004F5E0E"/>
    <w:rPr>
      <w:color w:val="000000" w:themeColor="followedHyperlink"/>
      <w:u w:val="single"/>
    </w:rPr>
  </w:style>
  <w:style w:type="character" w:styleId="FootnoteReference">
    <w:name w:val="footnote reference"/>
    <w:basedOn w:val="DefaultParagraphFont"/>
    <w:uiPriority w:val="99"/>
    <w:semiHidden/>
    <w:rsid w:val="004F5E0E"/>
    <w:rPr>
      <w:vertAlign w:val="superscript"/>
    </w:rPr>
  </w:style>
  <w:style w:type="paragraph" w:styleId="FootnoteText">
    <w:name w:val="footnote text"/>
    <w:basedOn w:val="Normal"/>
    <w:link w:val="FootnoteTextChar"/>
    <w:uiPriority w:val="99"/>
    <w:semiHidden/>
    <w:rsid w:val="004F5E0E"/>
    <w:pPr>
      <w:spacing w:line="240" w:lineRule="auto"/>
    </w:pPr>
    <w:rPr>
      <w:sz w:val="20"/>
    </w:rPr>
  </w:style>
  <w:style w:type="character" w:customStyle="1" w:styleId="FootnoteTextChar">
    <w:name w:val="Footnote Text Char"/>
    <w:basedOn w:val="DefaultParagraphFont"/>
    <w:link w:val="FootnoteText"/>
    <w:uiPriority w:val="99"/>
    <w:semiHidden/>
    <w:rsid w:val="004F5E0E"/>
    <w:rPr>
      <w:rFonts w:ascii="Arial" w:eastAsia="Arial" w:hAnsi="Arial" w:cs="Times New Roman"/>
      <w:szCs w:val="22"/>
      <w:lang w:val="en-US"/>
    </w:rPr>
  </w:style>
  <w:style w:type="character" w:styleId="HTMLAcronym">
    <w:name w:val="HTML Acronym"/>
    <w:basedOn w:val="DefaultParagraphFont"/>
    <w:uiPriority w:val="99"/>
    <w:semiHidden/>
    <w:rsid w:val="004F5E0E"/>
  </w:style>
  <w:style w:type="paragraph" w:styleId="HTMLAddress">
    <w:name w:val="HTML Address"/>
    <w:basedOn w:val="Normal"/>
    <w:link w:val="HTMLAddressChar"/>
    <w:uiPriority w:val="99"/>
    <w:semiHidden/>
    <w:rsid w:val="004F5E0E"/>
    <w:pPr>
      <w:spacing w:line="240" w:lineRule="auto"/>
    </w:pPr>
    <w:rPr>
      <w:i/>
      <w:iCs/>
    </w:rPr>
  </w:style>
  <w:style w:type="character" w:customStyle="1" w:styleId="HTMLAddressChar">
    <w:name w:val="HTML Address Char"/>
    <w:basedOn w:val="DefaultParagraphFont"/>
    <w:link w:val="HTMLAddress"/>
    <w:uiPriority w:val="99"/>
    <w:semiHidden/>
    <w:rsid w:val="004F5E0E"/>
    <w:rPr>
      <w:rFonts w:ascii="Arial" w:eastAsia="Arial" w:hAnsi="Arial" w:cs="Times New Roman"/>
      <w:i/>
      <w:iCs/>
      <w:sz w:val="15"/>
      <w:szCs w:val="22"/>
      <w:lang w:val="en-US"/>
    </w:rPr>
  </w:style>
  <w:style w:type="character" w:styleId="HTMLCite">
    <w:name w:val="HTML Cite"/>
    <w:basedOn w:val="DefaultParagraphFont"/>
    <w:uiPriority w:val="99"/>
    <w:semiHidden/>
    <w:rsid w:val="004F5E0E"/>
    <w:rPr>
      <w:i/>
      <w:iCs/>
    </w:rPr>
  </w:style>
  <w:style w:type="character" w:styleId="HTMLCode">
    <w:name w:val="HTML Code"/>
    <w:basedOn w:val="DefaultParagraphFont"/>
    <w:uiPriority w:val="99"/>
    <w:semiHidden/>
    <w:rsid w:val="004F5E0E"/>
    <w:rPr>
      <w:rFonts w:ascii="Consolas" w:hAnsi="Consolas" w:cs="Consolas"/>
      <w:sz w:val="20"/>
      <w:szCs w:val="20"/>
    </w:rPr>
  </w:style>
  <w:style w:type="character" w:styleId="HTMLDefinition">
    <w:name w:val="HTML Definition"/>
    <w:basedOn w:val="DefaultParagraphFont"/>
    <w:uiPriority w:val="99"/>
    <w:semiHidden/>
    <w:rsid w:val="004F5E0E"/>
    <w:rPr>
      <w:i/>
      <w:iCs/>
    </w:rPr>
  </w:style>
  <w:style w:type="character" w:styleId="HTMLKeyboard">
    <w:name w:val="HTML Keyboard"/>
    <w:basedOn w:val="DefaultParagraphFont"/>
    <w:uiPriority w:val="99"/>
    <w:semiHidden/>
    <w:rsid w:val="004F5E0E"/>
    <w:rPr>
      <w:rFonts w:ascii="Consolas" w:hAnsi="Consolas" w:cs="Consolas"/>
      <w:sz w:val="20"/>
      <w:szCs w:val="20"/>
    </w:rPr>
  </w:style>
  <w:style w:type="paragraph" w:styleId="HTMLPreformatted">
    <w:name w:val="HTML Preformatted"/>
    <w:basedOn w:val="Normal"/>
    <w:link w:val="HTMLPreformattedChar"/>
    <w:uiPriority w:val="99"/>
    <w:semiHidden/>
    <w:rsid w:val="004F5E0E"/>
    <w:pPr>
      <w:spacing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4F5E0E"/>
    <w:rPr>
      <w:rFonts w:ascii="Consolas" w:eastAsia="Arial" w:hAnsi="Consolas" w:cs="Consolas"/>
      <w:szCs w:val="22"/>
      <w:lang w:val="en-US"/>
    </w:rPr>
  </w:style>
  <w:style w:type="character" w:styleId="HTMLSample">
    <w:name w:val="HTML Sample"/>
    <w:basedOn w:val="DefaultParagraphFont"/>
    <w:uiPriority w:val="99"/>
    <w:semiHidden/>
    <w:rsid w:val="004F5E0E"/>
    <w:rPr>
      <w:rFonts w:ascii="Consolas" w:hAnsi="Consolas" w:cs="Consolas"/>
      <w:sz w:val="24"/>
      <w:szCs w:val="24"/>
    </w:rPr>
  </w:style>
  <w:style w:type="character" w:styleId="HTMLTypewriter">
    <w:name w:val="HTML Typewriter"/>
    <w:basedOn w:val="DefaultParagraphFont"/>
    <w:uiPriority w:val="99"/>
    <w:semiHidden/>
    <w:rsid w:val="004F5E0E"/>
    <w:rPr>
      <w:rFonts w:ascii="Consolas" w:hAnsi="Consolas" w:cs="Consolas"/>
      <w:sz w:val="20"/>
      <w:szCs w:val="20"/>
    </w:rPr>
  </w:style>
  <w:style w:type="character" w:styleId="HTMLVariable">
    <w:name w:val="HTML Variable"/>
    <w:basedOn w:val="DefaultParagraphFont"/>
    <w:uiPriority w:val="99"/>
    <w:semiHidden/>
    <w:rsid w:val="004F5E0E"/>
    <w:rPr>
      <w:i/>
      <w:iCs/>
    </w:rPr>
  </w:style>
  <w:style w:type="paragraph" w:styleId="Index1">
    <w:name w:val="index 1"/>
    <w:basedOn w:val="Normal"/>
    <w:next w:val="Normal"/>
    <w:autoRedefine/>
    <w:uiPriority w:val="99"/>
    <w:semiHidden/>
    <w:rsid w:val="004F5E0E"/>
    <w:pPr>
      <w:spacing w:line="240" w:lineRule="auto"/>
      <w:ind w:left="180" w:hanging="180"/>
    </w:pPr>
  </w:style>
  <w:style w:type="paragraph" w:styleId="Index2">
    <w:name w:val="index 2"/>
    <w:basedOn w:val="Normal"/>
    <w:next w:val="Normal"/>
    <w:autoRedefine/>
    <w:uiPriority w:val="99"/>
    <w:semiHidden/>
    <w:rsid w:val="004F5E0E"/>
    <w:pPr>
      <w:spacing w:line="240" w:lineRule="auto"/>
      <w:ind w:left="360" w:hanging="180"/>
    </w:pPr>
  </w:style>
  <w:style w:type="paragraph" w:styleId="Index3">
    <w:name w:val="index 3"/>
    <w:basedOn w:val="Normal"/>
    <w:next w:val="Normal"/>
    <w:autoRedefine/>
    <w:uiPriority w:val="99"/>
    <w:semiHidden/>
    <w:rsid w:val="004F5E0E"/>
    <w:pPr>
      <w:spacing w:line="240" w:lineRule="auto"/>
      <w:ind w:left="540" w:hanging="180"/>
    </w:pPr>
  </w:style>
  <w:style w:type="paragraph" w:styleId="Index4">
    <w:name w:val="index 4"/>
    <w:basedOn w:val="Normal"/>
    <w:next w:val="Normal"/>
    <w:autoRedefine/>
    <w:uiPriority w:val="99"/>
    <w:semiHidden/>
    <w:rsid w:val="004F5E0E"/>
    <w:pPr>
      <w:spacing w:line="240" w:lineRule="auto"/>
      <w:ind w:left="720" w:hanging="180"/>
    </w:pPr>
  </w:style>
  <w:style w:type="paragraph" w:styleId="Index5">
    <w:name w:val="index 5"/>
    <w:basedOn w:val="Normal"/>
    <w:next w:val="Normal"/>
    <w:autoRedefine/>
    <w:uiPriority w:val="99"/>
    <w:semiHidden/>
    <w:rsid w:val="004F5E0E"/>
    <w:pPr>
      <w:spacing w:line="240" w:lineRule="auto"/>
      <w:ind w:left="900" w:hanging="180"/>
    </w:pPr>
  </w:style>
  <w:style w:type="paragraph" w:styleId="Index6">
    <w:name w:val="index 6"/>
    <w:basedOn w:val="Normal"/>
    <w:next w:val="Normal"/>
    <w:autoRedefine/>
    <w:uiPriority w:val="99"/>
    <w:semiHidden/>
    <w:rsid w:val="004F5E0E"/>
    <w:pPr>
      <w:spacing w:line="240" w:lineRule="auto"/>
      <w:ind w:left="1080" w:hanging="180"/>
    </w:pPr>
  </w:style>
  <w:style w:type="paragraph" w:styleId="Index7">
    <w:name w:val="index 7"/>
    <w:basedOn w:val="Normal"/>
    <w:next w:val="Normal"/>
    <w:autoRedefine/>
    <w:uiPriority w:val="99"/>
    <w:semiHidden/>
    <w:rsid w:val="004F5E0E"/>
    <w:pPr>
      <w:spacing w:line="240" w:lineRule="auto"/>
      <w:ind w:left="1260" w:hanging="180"/>
    </w:pPr>
  </w:style>
  <w:style w:type="paragraph" w:styleId="Index8">
    <w:name w:val="index 8"/>
    <w:basedOn w:val="Normal"/>
    <w:next w:val="Normal"/>
    <w:autoRedefine/>
    <w:uiPriority w:val="99"/>
    <w:semiHidden/>
    <w:rsid w:val="004F5E0E"/>
    <w:pPr>
      <w:spacing w:line="240" w:lineRule="auto"/>
      <w:ind w:left="1440" w:hanging="180"/>
    </w:pPr>
  </w:style>
  <w:style w:type="paragraph" w:styleId="Index9">
    <w:name w:val="index 9"/>
    <w:basedOn w:val="Normal"/>
    <w:next w:val="Normal"/>
    <w:autoRedefine/>
    <w:uiPriority w:val="99"/>
    <w:semiHidden/>
    <w:rsid w:val="004F5E0E"/>
    <w:pPr>
      <w:spacing w:line="240" w:lineRule="auto"/>
      <w:ind w:left="1620" w:hanging="180"/>
    </w:pPr>
  </w:style>
  <w:style w:type="paragraph" w:styleId="IndexHeading">
    <w:name w:val="index heading"/>
    <w:basedOn w:val="Normal"/>
    <w:next w:val="Index1"/>
    <w:uiPriority w:val="99"/>
    <w:semiHidden/>
    <w:rsid w:val="004F5E0E"/>
    <w:rPr>
      <w:rFonts w:asciiTheme="majorHAnsi" w:eastAsiaTheme="majorEastAsia" w:hAnsiTheme="majorHAnsi" w:cstheme="majorBidi"/>
      <w:b/>
      <w:bCs/>
    </w:rPr>
  </w:style>
  <w:style w:type="table" w:styleId="LightGrid">
    <w:name w:val="Light Grid"/>
    <w:basedOn w:val="TableNormal"/>
    <w:uiPriority w:val="62"/>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18" w:space="0" w:color="009CE5" w:themeColor="accent1"/>
          <w:right w:val="single" w:sz="8" w:space="0" w:color="009CE5" w:themeColor="accent1"/>
          <w:insideH w:val="nil"/>
          <w:insideV w:val="single" w:sz="8" w:space="0" w:color="009CE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insideH w:val="nil"/>
          <w:insideV w:val="single" w:sz="8" w:space="0" w:color="009CE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shd w:val="clear" w:color="auto" w:fill="B9E8FF" w:themeFill="accent1" w:themeFillTint="3F"/>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shd w:val="clear" w:color="auto" w:fill="B9E8FF" w:themeFill="accent1" w:themeFillTint="3F"/>
      </w:tcPr>
    </w:tblStylePr>
    <w:tblStylePr w:type="band2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insideV w:val="single" w:sz="8" w:space="0" w:color="009CE5" w:themeColor="accent1"/>
        </w:tcBorders>
      </w:tcPr>
    </w:tblStylePr>
  </w:style>
  <w:style w:type="table" w:styleId="LightGrid-Accent2">
    <w:name w:val="Light Grid Accent 2"/>
    <w:basedOn w:val="TableNormal"/>
    <w:uiPriority w:val="62"/>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18" w:space="0" w:color="C79000" w:themeColor="accent2"/>
          <w:right w:val="single" w:sz="8" w:space="0" w:color="C79000" w:themeColor="accent2"/>
          <w:insideH w:val="nil"/>
          <w:insideV w:val="single" w:sz="8" w:space="0" w:color="C79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insideH w:val="nil"/>
          <w:insideV w:val="single" w:sz="8" w:space="0" w:color="C79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shd w:val="clear" w:color="auto" w:fill="FFE9B2" w:themeFill="accent2" w:themeFillTint="3F"/>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shd w:val="clear" w:color="auto" w:fill="FFE9B2" w:themeFill="accent2" w:themeFillTint="3F"/>
      </w:tcPr>
    </w:tblStylePr>
    <w:tblStylePr w:type="band2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insideV w:val="single" w:sz="8" w:space="0" w:color="C79000" w:themeColor="accent2"/>
        </w:tcBorders>
      </w:tcPr>
    </w:tblStylePr>
  </w:style>
  <w:style w:type="table" w:styleId="LightGrid-Accent3">
    <w:name w:val="Light Grid Accent 3"/>
    <w:basedOn w:val="TableNormal"/>
    <w:uiPriority w:val="62"/>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18" w:space="0" w:color="0066CC" w:themeColor="accent3"/>
          <w:right w:val="single" w:sz="8" w:space="0" w:color="0066CC" w:themeColor="accent3"/>
          <w:insideH w:val="nil"/>
          <w:insideV w:val="single" w:sz="8" w:space="0" w:color="0066C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insideH w:val="nil"/>
          <w:insideV w:val="single" w:sz="8" w:space="0" w:color="0066C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shd w:val="clear" w:color="auto" w:fill="B3D9FF" w:themeFill="accent3" w:themeFillTint="3F"/>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shd w:val="clear" w:color="auto" w:fill="B3D9FF" w:themeFill="accent3" w:themeFillTint="3F"/>
      </w:tcPr>
    </w:tblStylePr>
    <w:tblStylePr w:type="band2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insideV w:val="single" w:sz="8" w:space="0" w:color="0066CC" w:themeColor="accent3"/>
        </w:tcBorders>
      </w:tcPr>
    </w:tblStylePr>
  </w:style>
  <w:style w:type="table" w:styleId="LightGrid-Accent4">
    <w:name w:val="Light Grid Accent 4"/>
    <w:basedOn w:val="TableNormal"/>
    <w:uiPriority w:val="62"/>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18" w:space="0" w:color="E20033" w:themeColor="accent4"/>
          <w:right w:val="single" w:sz="8" w:space="0" w:color="E20033" w:themeColor="accent4"/>
          <w:insideH w:val="nil"/>
          <w:insideV w:val="single" w:sz="8" w:space="0" w:color="E20033"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insideH w:val="nil"/>
          <w:insideV w:val="single" w:sz="8" w:space="0" w:color="E20033"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shd w:val="clear" w:color="auto" w:fill="FFB8C8" w:themeFill="accent4" w:themeFillTint="3F"/>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shd w:val="clear" w:color="auto" w:fill="FFB8C8" w:themeFill="accent4" w:themeFillTint="3F"/>
      </w:tcPr>
    </w:tblStylePr>
    <w:tblStylePr w:type="band2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insideV w:val="single" w:sz="8" w:space="0" w:color="E20033" w:themeColor="accent4"/>
        </w:tcBorders>
      </w:tcPr>
    </w:tblStylePr>
  </w:style>
  <w:style w:type="table" w:styleId="LightGrid-Accent5">
    <w:name w:val="Light Grid Accent 5"/>
    <w:basedOn w:val="TableNormal"/>
    <w:uiPriority w:val="62"/>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18" w:space="0" w:color="FF9900" w:themeColor="accent5"/>
          <w:right w:val="single" w:sz="8" w:space="0" w:color="FF9900" w:themeColor="accent5"/>
          <w:insideH w:val="nil"/>
          <w:insideV w:val="single" w:sz="8" w:space="0" w:color="FF9900"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insideH w:val="nil"/>
          <w:insideV w:val="single" w:sz="8" w:space="0" w:color="FF9900"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shd w:val="clear" w:color="auto" w:fill="FFE5C0" w:themeFill="accent5" w:themeFillTint="3F"/>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shd w:val="clear" w:color="auto" w:fill="FFE5C0" w:themeFill="accent5" w:themeFillTint="3F"/>
      </w:tcPr>
    </w:tblStylePr>
    <w:tblStylePr w:type="band2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insideV w:val="single" w:sz="8" w:space="0" w:color="FF9900" w:themeColor="accent5"/>
        </w:tcBorders>
      </w:tcPr>
    </w:tblStylePr>
  </w:style>
  <w:style w:type="table" w:styleId="LightGrid-Accent6">
    <w:name w:val="Light Grid Accent 6"/>
    <w:basedOn w:val="TableNormal"/>
    <w:uiPriority w:val="62"/>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18" w:space="0" w:color="FFCC00" w:themeColor="accent6"/>
          <w:right w:val="single" w:sz="8" w:space="0" w:color="FFCC00" w:themeColor="accent6"/>
          <w:insideH w:val="nil"/>
          <w:insideV w:val="single" w:sz="8" w:space="0" w:color="FFCC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insideH w:val="nil"/>
          <w:insideV w:val="single" w:sz="8" w:space="0" w:color="FFCC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shd w:val="clear" w:color="auto" w:fill="FFF2C0" w:themeFill="accent6" w:themeFillTint="3F"/>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shd w:val="clear" w:color="auto" w:fill="FFF2C0" w:themeFill="accent6" w:themeFillTint="3F"/>
      </w:tcPr>
    </w:tblStylePr>
    <w:tblStylePr w:type="band2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insideV w:val="single" w:sz="8" w:space="0" w:color="FFCC00" w:themeColor="accent6"/>
        </w:tcBorders>
      </w:tcPr>
    </w:tblStylePr>
  </w:style>
  <w:style w:type="table" w:styleId="LightList">
    <w:name w:val="Light List"/>
    <w:basedOn w:val="TableNormal"/>
    <w:uiPriority w:val="61"/>
    <w:rsid w:val="004F5E0E"/>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F5E0E"/>
    <w:pPr>
      <w:spacing w:after="0" w:line="240" w:lineRule="auto"/>
    </w:p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pPr>
        <w:spacing w:before="0" w:after="0" w:line="240" w:lineRule="auto"/>
      </w:pPr>
      <w:rPr>
        <w:b/>
        <w:bCs/>
        <w:color w:val="FFFFFF" w:themeColor="background1"/>
      </w:rPr>
      <w:tblPr/>
      <w:tcPr>
        <w:shd w:val="clear" w:color="auto" w:fill="009CE5" w:themeFill="accent1"/>
      </w:tcPr>
    </w:tblStylePr>
    <w:tblStylePr w:type="lastRow">
      <w:pPr>
        <w:spacing w:before="0" w:after="0" w:line="240" w:lineRule="auto"/>
      </w:pPr>
      <w:rPr>
        <w:b/>
        <w:bCs/>
      </w:rPr>
      <w:tblPr/>
      <w:tcPr>
        <w:tcBorders>
          <w:top w:val="double" w:sz="6" w:space="0" w:color="009CE5" w:themeColor="accent1"/>
          <w:left w:val="single" w:sz="8" w:space="0" w:color="009CE5" w:themeColor="accent1"/>
          <w:bottom w:val="single" w:sz="8" w:space="0" w:color="009CE5" w:themeColor="accent1"/>
          <w:right w:val="single" w:sz="8" w:space="0" w:color="009CE5" w:themeColor="accent1"/>
        </w:tcBorders>
      </w:tcPr>
    </w:tblStylePr>
    <w:tblStylePr w:type="firstCol">
      <w:rPr>
        <w:b/>
        <w:bCs/>
      </w:rPr>
    </w:tblStylePr>
    <w:tblStylePr w:type="lastCol">
      <w:rPr>
        <w:b/>
        <w:bCs/>
      </w:rPr>
    </w:tblStylePr>
    <w:tblStylePr w:type="band1Vert">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tblStylePr w:type="band1Horz">
      <w:tblPr/>
      <w:tcPr>
        <w:tcBorders>
          <w:top w:val="single" w:sz="8" w:space="0" w:color="009CE5" w:themeColor="accent1"/>
          <w:left w:val="single" w:sz="8" w:space="0" w:color="009CE5" w:themeColor="accent1"/>
          <w:bottom w:val="single" w:sz="8" w:space="0" w:color="009CE5" w:themeColor="accent1"/>
          <w:right w:val="single" w:sz="8" w:space="0" w:color="009CE5" w:themeColor="accent1"/>
        </w:tcBorders>
      </w:tcPr>
    </w:tblStylePr>
  </w:style>
  <w:style w:type="table" w:styleId="LightList-Accent2">
    <w:name w:val="Light List Accent 2"/>
    <w:basedOn w:val="TableNormal"/>
    <w:uiPriority w:val="61"/>
    <w:rsid w:val="004F5E0E"/>
    <w:pPr>
      <w:spacing w:after="0" w:line="240" w:lineRule="auto"/>
    </w:p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pPr>
        <w:spacing w:before="0" w:after="0" w:line="240" w:lineRule="auto"/>
      </w:pPr>
      <w:rPr>
        <w:b/>
        <w:bCs/>
        <w:color w:val="FFFFFF" w:themeColor="background1"/>
      </w:rPr>
      <w:tblPr/>
      <w:tcPr>
        <w:shd w:val="clear" w:color="auto" w:fill="C79000" w:themeFill="accent2"/>
      </w:tcPr>
    </w:tblStylePr>
    <w:tblStylePr w:type="lastRow">
      <w:pPr>
        <w:spacing w:before="0" w:after="0" w:line="240" w:lineRule="auto"/>
      </w:pPr>
      <w:rPr>
        <w:b/>
        <w:bCs/>
      </w:rPr>
      <w:tblPr/>
      <w:tcPr>
        <w:tcBorders>
          <w:top w:val="double" w:sz="6" w:space="0" w:color="C79000" w:themeColor="accent2"/>
          <w:left w:val="single" w:sz="8" w:space="0" w:color="C79000" w:themeColor="accent2"/>
          <w:bottom w:val="single" w:sz="8" w:space="0" w:color="C79000" w:themeColor="accent2"/>
          <w:right w:val="single" w:sz="8" w:space="0" w:color="C79000" w:themeColor="accent2"/>
        </w:tcBorders>
      </w:tcPr>
    </w:tblStylePr>
    <w:tblStylePr w:type="firstCol">
      <w:rPr>
        <w:b/>
        <w:bCs/>
      </w:rPr>
    </w:tblStylePr>
    <w:tblStylePr w:type="lastCol">
      <w:rPr>
        <w:b/>
        <w:bCs/>
      </w:rPr>
    </w:tblStylePr>
    <w:tblStylePr w:type="band1Vert">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tblStylePr w:type="band1Horz">
      <w:tblPr/>
      <w:tcPr>
        <w:tcBorders>
          <w:top w:val="single" w:sz="8" w:space="0" w:color="C79000" w:themeColor="accent2"/>
          <w:left w:val="single" w:sz="8" w:space="0" w:color="C79000" w:themeColor="accent2"/>
          <w:bottom w:val="single" w:sz="8" w:space="0" w:color="C79000" w:themeColor="accent2"/>
          <w:right w:val="single" w:sz="8" w:space="0" w:color="C79000" w:themeColor="accent2"/>
        </w:tcBorders>
      </w:tcPr>
    </w:tblStylePr>
  </w:style>
  <w:style w:type="table" w:styleId="LightList-Accent3">
    <w:name w:val="Light List Accent 3"/>
    <w:basedOn w:val="TableNormal"/>
    <w:uiPriority w:val="61"/>
    <w:rsid w:val="004F5E0E"/>
    <w:pPr>
      <w:spacing w:after="0" w:line="240" w:lineRule="auto"/>
    </w:p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pPr>
        <w:spacing w:before="0" w:after="0" w:line="240" w:lineRule="auto"/>
      </w:pPr>
      <w:rPr>
        <w:b/>
        <w:bCs/>
        <w:color w:val="FFFFFF" w:themeColor="background1"/>
      </w:rPr>
      <w:tblPr/>
      <w:tcPr>
        <w:shd w:val="clear" w:color="auto" w:fill="0066CC" w:themeFill="accent3"/>
      </w:tcPr>
    </w:tblStylePr>
    <w:tblStylePr w:type="lastRow">
      <w:pPr>
        <w:spacing w:before="0" w:after="0" w:line="240" w:lineRule="auto"/>
      </w:pPr>
      <w:rPr>
        <w:b/>
        <w:bCs/>
      </w:rPr>
      <w:tblPr/>
      <w:tcPr>
        <w:tcBorders>
          <w:top w:val="double" w:sz="6" w:space="0" w:color="0066CC" w:themeColor="accent3"/>
          <w:left w:val="single" w:sz="8" w:space="0" w:color="0066CC" w:themeColor="accent3"/>
          <w:bottom w:val="single" w:sz="8" w:space="0" w:color="0066CC" w:themeColor="accent3"/>
          <w:right w:val="single" w:sz="8" w:space="0" w:color="0066CC" w:themeColor="accent3"/>
        </w:tcBorders>
      </w:tcPr>
    </w:tblStylePr>
    <w:tblStylePr w:type="firstCol">
      <w:rPr>
        <w:b/>
        <w:bCs/>
      </w:rPr>
    </w:tblStylePr>
    <w:tblStylePr w:type="lastCol">
      <w:rPr>
        <w:b/>
        <w:bCs/>
      </w:rPr>
    </w:tblStylePr>
    <w:tblStylePr w:type="band1Vert">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tblStylePr w:type="band1Horz">
      <w:tblPr/>
      <w:tcPr>
        <w:tcBorders>
          <w:top w:val="single" w:sz="8" w:space="0" w:color="0066CC" w:themeColor="accent3"/>
          <w:left w:val="single" w:sz="8" w:space="0" w:color="0066CC" w:themeColor="accent3"/>
          <w:bottom w:val="single" w:sz="8" w:space="0" w:color="0066CC" w:themeColor="accent3"/>
          <w:right w:val="single" w:sz="8" w:space="0" w:color="0066CC" w:themeColor="accent3"/>
        </w:tcBorders>
      </w:tcPr>
    </w:tblStylePr>
  </w:style>
  <w:style w:type="table" w:styleId="LightList-Accent4">
    <w:name w:val="Light List Accent 4"/>
    <w:basedOn w:val="TableNormal"/>
    <w:uiPriority w:val="61"/>
    <w:rsid w:val="004F5E0E"/>
    <w:pPr>
      <w:spacing w:after="0" w:line="240" w:lineRule="auto"/>
    </w:p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pPr>
        <w:spacing w:before="0" w:after="0" w:line="240" w:lineRule="auto"/>
      </w:pPr>
      <w:rPr>
        <w:b/>
        <w:bCs/>
        <w:color w:val="FFFFFF" w:themeColor="background1"/>
      </w:rPr>
      <w:tblPr/>
      <w:tcPr>
        <w:shd w:val="clear" w:color="auto" w:fill="E20033" w:themeFill="accent4"/>
      </w:tcPr>
    </w:tblStylePr>
    <w:tblStylePr w:type="lastRow">
      <w:pPr>
        <w:spacing w:before="0" w:after="0" w:line="240" w:lineRule="auto"/>
      </w:pPr>
      <w:rPr>
        <w:b/>
        <w:bCs/>
      </w:rPr>
      <w:tblPr/>
      <w:tcPr>
        <w:tcBorders>
          <w:top w:val="double" w:sz="6" w:space="0" w:color="E20033" w:themeColor="accent4"/>
          <w:left w:val="single" w:sz="8" w:space="0" w:color="E20033" w:themeColor="accent4"/>
          <w:bottom w:val="single" w:sz="8" w:space="0" w:color="E20033" w:themeColor="accent4"/>
          <w:right w:val="single" w:sz="8" w:space="0" w:color="E20033" w:themeColor="accent4"/>
        </w:tcBorders>
      </w:tcPr>
    </w:tblStylePr>
    <w:tblStylePr w:type="firstCol">
      <w:rPr>
        <w:b/>
        <w:bCs/>
      </w:rPr>
    </w:tblStylePr>
    <w:tblStylePr w:type="lastCol">
      <w:rPr>
        <w:b/>
        <w:bCs/>
      </w:rPr>
    </w:tblStylePr>
    <w:tblStylePr w:type="band1Vert">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tblStylePr w:type="band1Horz">
      <w:tblPr/>
      <w:tcPr>
        <w:tcBorders>
          <w:top w:val="single" w:sz="8" w:space="0" w:color="E20033" w:themeColor="accent4"/>
          <w:left w:val="single" w:sz="8" w:space="0" w:color="E20033" w:themeColor="accent4"/>
          <w:bottom w:val="single" w:sz="8" w:space="0" w:color="E20033" w:themeColor="accent4"/>
          <w:right w:val="single" w:sz="8" w:space="0" w:color="E20033" w:themeColor="accent4"/>
        </w:tcBorders>
      </w:tcPr>
    </w:tblStylePr>
  </w:style>
  <w:style w:type="table" w:styleId="LightList-Accent5">
    <w:name w:val="Light List Accent 5"/>
    <w:basedOn w:val="TableNormal"/>
    <w:uiPriority w:val="61"/>
    <w:rsid w:val="004F5E0E"/>
    <w:pPr>
      <w:spacing w:after="0" w:line="240" w:lineRule="auto"/>
    </w:p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pPr>
        <w:spacing w:before="0" w:after="0" w:line="240" w:lineRule="auto"/>
      </w:pPr>
      <w:rPr>
        <w:b/>
        <w:bCs/>
        <w:color w:val="FFFFFF" w:themeColor="background1"/>
      </w:rPr>
      <w:tblPr/>
      <w:tcPr>
        <w:shd w:val="clear" w:color="auto" w:fill="FF9900" w:themeFill="accent5"/>
      </w:tcPr>
    </w:tblStylePr>
    <w:tblStylePr w:type="lastRow">
      <w:pPr>
        <w:spacing w:before="0" w:after="0" w:line="240" w:lineRule="auto"/>
      </w:pPr>
      <w:rPr>
        <w:b/>
        <w:bCs/>
      </w:rPr>
      <w:tblPr/>
      <w:tcPr>
        <w:tcBorders>
          <w:top w:val="double" w:sz="6" w:space="0" w:color="FF9900" w:themeColor="accent5"/>
          <w:left w:val="single" w:sz="8" w:space="0" w:color="FF9900" w:themeColor="accent5"/>
          <w:bottom w:val="single" w:sz="8" w:space="0" w:color="FF9900" w:themeColor="accent5"/>
          <w:right w:val="single" w:sz="8" w:space="0" w:color="FF9900" w:themeColor="accent5"/>
        </w:tcBorders>
      </w:tcPr>
    </w:tblStylePr>
    <w:tblStylePr w:type="firstCol">
      <w:rPr>
        <w:b/>
        <w:bCs/>
      </w:rPr>
    </w:tblStylePr>
    <w:tblStylePr w:type="lastCol">
      <w:rPr>
        <w:b/>
        <w:bCs/>
      </w:rPr>
    </w:tblStylePr>
    <w:tblStylePr w:type="band1Vert">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tblStylePr w:type="band1Horz">
      <w:tblPr/>
      <w:tcPr>
        <w:tcBorders>
          <w:top w:val="single" w:sz="8" w:space="0" w:color="FF9900" w:themeColor="accent5"/>
          <w:left w:val="single" w:sz="8" w:space="0" w:color="FF9900" w:themeColor="accent5"/>
          <w:bottom w:val="single" w:sz="8" w:space="0" w:color="FF9900" w:themeColor="accent5"/>
          <w:right w:val="single" w:sz="8" w:space="0" w:color="FF9900" w:themeColor="accent5"/>
        </w:tcBorders>
      </w:tcPr>
    </w:tblStylePr>
  </w:style>
  <w:style w:type="table" w:styleId="LightList-Accent6">
    <w:name w:val="Light List Accent 6"/>
    <w:basedOn w:val="TableNormal"/>
    <w:uiPriority w:val="61"/>
    <w:rsid w:val="004F5E0E"/>
    <w:pPr>
      <w:spacing w:after="0" w:line="240" w:lineRule="auto"/>
    </w:p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pPr>
        <w:spacing w:before="0" w:after="0" w:line="240" w:lineRule="auto"/>
      </w:pPr>
      <w:rPr>
        <w:b/>
        <w:bCs/>
        <w:color w:val="FFFFFF" w:themeColor="background1"/>
      </w:rPr>
      <w:tblPr/>
      <w:tcPr>
        <w:shd w:val="clear" w:color="auto" w:fill="FFCC00" w:themeFill="accent6"/>
      </w:tcPr>
    </w:tblStylePr>
    <w:tblStylePr w:type="lastRow">
      <w:pPr>
        <w:spacing w:before="0" w:after="0" w:line="240" w:lineRule="auto"/>
      </w:pPr>
      <w:rPr>
        <w:b/>
        <w:bCs/>
      </w:rPr>
      <w:tblPr/>
      <w:tcPr>
        <w:tcBorders>
          <w:top w:val="double" w:sz="6" w:space="0" w:color="FFCC00" w:themeColor="accent6"/>
          <w:left w:val="single" w:sz="8" w:space="0" w:color="FFCC00" w:themeColor="accent6"/>
          <w:bottom w:val="single" w:sz="8" w:space="0" w:color="FFCC00" w:themeColor="accent6"/>
          <w:right w:val="single" w:sz="8" w:space="0" w:color="FFCC00" w:themeColor="accent6"/>
        </w:tcBorders>
      </w:tcPr>
    </w:tblStylePr>
    <w:tblStylePr w:type="firstCol">
      <w:rPr>
        <w:b/>
        <w:bCs/>
      </w:rPr>
    </w:tblStylePr>
    <w:tblStylePr w:type="lastCol">
      <w:rPr>
        <w:b/>
        <w:bCs/>
      </w:rPr>
    </w:tblStylePr>
    <w:tblStylePr w:type="band1Vert">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tblStylePr w:type="band1Horz">
      <w:tblPr/>
      <w:tcPr>
        <w:tcBorders>
          <w:top w:val="single" w:sz="8" w:space="0" w:color="FFCC00" w:themeColor="accent6"/>
          <w:left w:val="single" w:sz="8" w:space="0" w:color="FFCC00" w:themeColor="accent6"/>
          <w:bottom w:val="single" w:sz="8" w:space="0" w:color="FFCC00" w:themeColor="accent6"/>
          <w:right w:val="single" w:sz="8" w:space="0" w:color="FFCC00" w:themeColor="accent6"/>
        </w:tcBorders>
      </w:tcPr>
    </w:tblStylePr>
  </w:style>
  <w:style w:type="table" w:styleId="LightShading">
    <w:name w:val="Light Shading"/>
    <w:basedOn w:val="TableNormal"/>
    <w:uiPriority w:val="60"/>
    <w:rsid w:val="004F5E0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F5E0E"/>
    <w:pPr>
      <w:spacing w:after="0" w:line="240" w:lineRule="auto"/>
    </w:pPr>
    <w:rPr>
      <w:color w:val="0074AB" w:themeColor="accent1" w:themeShade="BF"/>
    </w:rPr>
    <w:tblPr>
      <w:tblStyleRowBandSize w:val="1"/>
      <w:tblStyleColBandSize w:val="1"/>
      <w:tblBorders>
        <w:top w:val="single" w:sz="8" w:space="0" w:color="009CE5" w:themeColor="accent1"/>
        <w:bottom w:val="single" w:sz="8" w:space="0" w:color="009CE5" w:themeColor="accent1"/>
      </w:tblBorders>
    </w:tblPr>
    <w:tblStylePr w:type="fir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lastRow">
      <w:pPr>
        <w:spacing w:before="0" w:after="0" w:line="240" w:lineRule="auto"/>
      </w:pPr>
      <w:rPr>
        <w:b/>
        <w:bCs/>
      </w:rPr>
      <w:tblPr/>
      <w:tcPr>
        <w:tcBorders>
          <w:top w:val="single" w:sz="8" w:space="0" w:color="009CE5" w:themeColor="accent1"/>
          <w:left w:val="nil"/>
          <w:bottom w:val="single" w:sz="8" w:space="0" w:color="009CE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left w:val="nil"/>
          <w:right w:val="nil"/>
          <w:insideH w:val="nil"/>
          <w:insideV w:val="nil"/>
        </w:tcBorders>
        <w:shd w:val="clear" w:color="auto" w:fill="B9E8FF" w:themeFill="accent1" w:themeFillTint="3F"/>
      </w:tcPr>
    </w:tblStylePr>
  </w:style>
  <w:style w:type="table" w:styleId="LightShading-Accent2">
    <w:name w:val="Light Shading Accent 2"/>
    <w:basedOn w:val="TableNormal"/>
    <w:uiPriority w:val="60"/>
    <w:rsid w:val="004F5E0E"/>
    <w:pPr>
      <w:spacing w:after="0" w:line="240" w:lineRule="auto"/>
    </w:pPr>
    <w:rPr>
      <w:color w:val="956B00" w:themeColor="accent2" w:themeShade="BF"/>
    </w:rPr>
    <w:tblPr>
      <w:tblStyleRowBandSize w:val="1"/>
      <w:tblStyleColBandSize w:val="1"/>
      <w:tblBorders>
        <w:top w:val="single" w:sz="8" w:space="0" w:color="C79000" w:themeColor="accent2"/>
        <w:bottom w:val="single" w:sz="8" w:space="0" w:color="C79000" w:themeColor="accent2"/>
      </w:tblBorders>
    </w:tblPr>
    <w:tblStylePr w:type="fir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lastRow">
      <w:pPr>
        <w:spacing w:before="0" w:after="0" w:line="240" w:lineRule="auto"/>
      </w:pPr>
      <w:rPr>
        <w:b/>
        <w:bCs/>
      </w:rPr>
      <w:tblPr/>
      <w:tcPr>
        <w:tcBorders>
          <w:top w:val="single" w:sz="8" w:space="0" w:color="C79000" w:themeColor="accent2"/>
          <w:left w:val="nil"/>
          <w:bottom w:val="single" w:sz="8" w:space="0" w:color="C79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left w:val="nil"/>
          <w:right w:val="nil"/>
          <w:insideH w:val="nil"/>
          <w:insideV w:val="nil"/>
        </w:tcBorders>
        <w:shd w:val="clear" w:color="auto" w:fill="FFE9B2" w:themeFill="accent2" w:themeFillTint="3F"/>
      </w:tcPr>
    </w:tblStylePr>
  </w:style>
  <w:style w:type="table" w:styleId="LightShading-Accent3">
    <w:name w:val="Light Shading Accent 3"/>
    <w:basedOn w:val="TableNormal"/>
    <w:uiPriority w:val="60"/>
    <w:rsid w:val="004F5E0E"/>
    <w:pPr>
      <w:spacing w:after="0" w:line="240" w:lineRule="auto"/>
    </w:pPr>
    <w:rPr>
      <w:color w:val="004C98" w:themeColor="accent3" w:themeShade="BF"/>
    </w:rPr>
    <w:tblPr>
      <w:tblStyleRowBandSize w:val="1"/>
      <w:tblStyleColBandSize w:val="1"/>
      <w:tblBorders>
        <w:top w:val="single" w:sz="8" w:space="0" w:color="0066CC" w:themeColor="accent3"/>
        <w:bottom w:val="single" w:sz="8" w:space="0" w:color="0066CC" w:themeColor="accent3"/>
      </w:tblBorders>
    </w:tblPr>
    <w:tblStylePr w:type="fir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lastRow">
      <w:pPr>
        <w:spacing w:before="0" w:after="0" w:line="240" w:lineRule="auto"/>
      </w:pPr>
      <w:rPr>
        <w:b/>
        <w:bCs/>
      </w:rPr>
      <w:tblPr/>
      <w:tcPr>
        <w:tcBorders>
          <w:top w:val="single" w:sz="8" w:space="0" w:color="0066CC" w:themeColor="accent3"/>
          <w:left w:val="nil"/>
          <w:bottom w:val="single" w:sz="8" w:space="0" w:color="0066CC"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left w:val="nil"/>
          <w:right w:val="nil"/>
          <w:insideH w:val="nil"/>
          <w:insideV w:val="nil"/>
        </w:tcBorders>
        <w:shd w:val="clear" w:color="auto" w:fill="B3D9FF" w:themeFill="accent3" w:themeFillTint="3F"/>
      </w:tcPr>
    </w:tblStylePr>
  </w:style>
  <w:style w:type="table" w:styleId="LightShading-Accent4">
    <w:name w:val="Light Shading Accent 4"/>
    <w:basedOn w:val="TableNormal"/>
    <w:uiPriority w:val="60"/>
    <w:rsid w:val="004F5E0E"/>
    <w:pPr>
      <w:spacing w:after="0" w:line="240" w:lineRule="auto"/>
    </w:pPr>
    <w:rPr>
      <w:color w:val="A90025" w:themeColor="accent4" w:themeShade="BF"/>
    </w:rPr>
    <w:tblPr>
      <w:tblStyleRowBandSize w:val="1"/>
      <w:tblStyleColBandSize w:val="1"/>
      <w:tblBorders>
        <w:top w:val="single" w:sz="8" w:space="0" w:color="E20033" w:themeColor="accent4"/>
        <w:bottom w:val="single" w:sz="8" w:space="0" w:color="E20033" w:themeColor="accent4"/>
      </w:tblBorders>
    </w:tblPr>
    <w:tblStylePr w:type="fir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lastRow">
      <w:pPr>
        <w:spacing w:before="0" w:after="0" w:line="240" w:lineRule="auto"/>
      </w:pPr>
      <w:rPr>
        <w:b/>
        <w:bCs/>
      </w:rPr>
      <w:tblPr/>
      <w:tcPr>
        <w:tcBorders>
          <w:top w:val="single" w:sz="8" w:space="0" w:color="E20033" w:themeColor="accent4"/>
          <w:left w:val="nil"/>
          <w:bottom w:val="single" w:sz="8" w:space="0" w:color="E20033"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left w:val="nil"/>
          <w:right w:val="nil"/>
          <w:insideH w:val="nil"/>
          <w:insideV w:val="nil"/>
        </w:tcBorders>
        <w:shd w:val="clear" w:color="auto" w:fill="FFB8C8" w:themeFill="accent4" w:themeFillTint="3F"/>
      </w:tcPr>
    </w:tblStylePr>
  </w:style>
  <w:style w:type="table" w:styleId="LightShading-Accent5">
    <w:name w:val="Light Shading Accent 5"/>
    <w:basedOn w:val="TableNormal"/>
    <w:uiPriority w:val="60"/>
    <w:rsid w:val="004F5E0E"/>
    <w:pPr>
      <w:spacing w:after="0" w:line="240" w:lineRule="auto"/>
    </w:pPr>
    <w:rPr>
      <w:color w:val="BF7200" w:themeColor="accent5" w:themeShade="BF"/>
    </w:rPr>
    <w:tblPr>
      <w:tblStyleRowBandSize w:val="1"/>
      <w:tblStyleColBandSize w:val="1"/>
      <w:tblBorders>
        <w:top w:val="single" w:sz="8" w:space="0" w:color="FF9900" w:themeColor="accent5"/>
        <w:bottom w:val="single" w:sz="8" w:space="0" w:color="FF9900" w:themeColor="accent5"/>
      </w:tblBorders>
    </w:tblPr>
    <w:tblStylePr w:type="fir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lastRow">
      <w:pPr>
        <w:spacing w:before="0" w:after="0" w:line="240" w:lineRule="auto"/>
      </w:pPr>
      <w:rPr>
        <w:b/>
        <w:bCs/>
      </w:rPr>
      <w:tblPr/>
      <w:tcPr>
        <w:tcBorders>
          <w:top w:val="single" w:sz="8" w:space="0" w:color="FF9900" w:themeColor="accent5"/>
          <w:left w:val="nil"/>
          <w:bottom w:val="single" w:sz="8" w:space="0" w:color="FF9900"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left w:val="nil"/>
          <w:right w:val="nil"/>
          <w:insideH w:val="nil"/>
          <w:insideV w:val="nil"/>
        </w:tcBorders>
        <w:shd w:val="clear" w:color="auto" w:fill="FFE5C0" w:themeFill="accent5" w:themeFillTint="3F"/>
      </w:tcPr>
    </w:tblStylePr>
  </w:style>
  <w:style w:type="table" w:styleId="LightShading-Accent6">
    <w:name w:val="Light Shading Accent 6"/>
    <w:basedOn w:val="TableNormal"/>
    <w:uiPriority w:val="60"/>
    <w:rsid w:val="004F5E0E"/>
    <w:pPr>
      <w:spacing w:after="0" w:line="240" w:lineRule="auto"/>
    </w:pPr>
    <w:rPr>
      <w:color w:val="BF9800" w:themeColor="accent6" w:themeShade="BF"/>
    </w:rPr>
    <w:tblPr>
      <w:tblStyleRowBandSize w:val="1"/>
      <w:tblStyleColBandSize w:val="1"/>
      <w:tblBorders>
        <w:top w:val="single" w:sz="8" w:space="0" w:color="FFCC00" w:themeColor="accent6"/>
        <w:bottom w:val="single" w:sz="8" w:space="0" w:color="FFCC00" w:themeColor="accent6"/>
      </w:tblBorders>
    </w:tblPr>
    <w:tblStylePr w:type="fir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lastRow">
      <w:pPr>
        <w:spacing w:before="0" w:after="0" w:line="240" w:lineRule="auto"/>
      </w:pPr>
      <w:rPr>
        <w:b/>
        <w:bCs/>
      </w:rPr>
      <w:tblPr/>
      <w:tcPr>
        <w:tcBorders>
          <w:top w:val="single" w:sz="8" w:space="0" w:color="FFCC00" w:themeColor="accent6"/>
          <w:left w:val="nil"/>
          <w:bottom w:val="single" w:sz="8" w:space="0" w:color="FFCC00"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left w:val="nil"/>
          <w:right w:val="nil"/>
          <w:insideH w:val="nil"/>
          <w:insideV w:val="nil"/>
        </w:tcBorders>
        <w:shd w:val="clear" w:color="auto" w:fill="FFF2C0" w:themeFill="accent6" w:themeFillTint="3F"/>
      </w:tcPr>
    </w:tblStylePr>
  </w:style>
  <w:style w:type="character" w:styleId="LineNumber">
    <w:name w:val="line number"/>
    <w:basedOn w:val="DefaultParagraphFont"/>
    <w:uiPriority w:val="99"/>
    <w:semiHidden/>
    <w:rsid w:val="004F5E0E"/>
  </w:style>
  <w:style w:type="paragraph" w:styleId="List">
    <w:name w:val="List"/>
    <w:basedOn w:val="Normal"/>
    <w:uiPriority w:val="99"/>
    <w:semiHidden/>
    <w:rsid w:val="004F5E0E"/>
    <w:pPr>
      <w:ind w:left="283" w:hanging="283"/>
      <w:contextualSpacing/>
    </w:pPr>
  </w:style>
  <w:style w:type="paragraph" w:styleId="List2">
    <w:name w:val="List 2"/>
    <w:basedOn w:val="Normal"/>
    <w:uiPriority w:val="99"/>
    <w:semiHidden/>
    <w:rsid w:val="004F5E0E"/>
    <w:pPr>
      <w:ind w:left="566" w:hanging="283"/>
      <w:contextualSpacing/>
    </w:pPr>
  </w:style>
  <w:style w:type="paragraph" w:styleId="List3">
    <w:name w:val="List 3"/>
    <w:basedOn w:val="Normal"/>
    <w:uiPriority w:val="99"/>
    <w:semiHidden/>
    <w:rsid w:val="004F5E0E"/>
    <w:pPr>
      <w:ind w:left="849" w:hanging="283"/>
      <w:contextualSpacing/>
    </w:pPr>
  </w:style>
  <w:style w:type="paragraph" w:styleId="List4">
    <w:name w:val="List 4"/>
    <w:basedOn w:val="Normal"/>
    <w:uiPriority w:val="99"/>
    <w:semiHidden/>
    <w:rsid w:val="004F5E0E"/>
    <w:pPr>
      <w:ind w:left="1132" w:hanging="283"/>
      <w:contextualSpacing/>
    </w:pPr>
  </w:style>
  <w:style w:type="paragraph" w:styleId="List5">
    <w:name w:val="List 5"/>
    <w:basedOn w:val="Normal"/>
    <w:uiPriority w:val="99"/>
    <w:semiHidden/>
    <w:rsid w:val="004F5E0E"/>
    <w:pPr>
      <w:ind w:left="1415" w:hanging="283"/>
      <w:contextualSpacing/>
    </w:pPr>
  </w:style>
  <w:style w:type="paragraph" w:styleId="ListBullet2">
    <w:name w:val="List Bullet 2"/>
    <w:basedOn w:val="Normal"/>
    <w:uiPriority w:val="99"/>
    <w:semiHidden/>
    <w:rsid w:val="004F5E0E"/>
    <w:pPr>
      <w:numPr>
        <w:numId w:val="12"/>
      </w:numPr>
      <w:contextualSpacing/>
    </w:pPr>
  </w:style>
  <w:style w:type="paragraph" w:styleId="ListBullet3">
    <w:name w:val="List Bullet 3"/>
    <w:basedOn w:val="Normal"/>
    <w:uiPriority w:val="99"/>
    <w:semiHidden/>
    <w:rsid w:val="004F5E0E"/>
    <w:pPr>
      <w:numPr>
        <w:numId w:val="13"/>
      </w:numPr>
      <w:contextualSpacing/>
    </w:pPr>
  </w:style>
  <w:style w:type="paragraph" w:styleId="ListBullet4">
    <w:name w:val="List Bullet 4"/>
    <w:basedOn w:val="Normal"/>
    <w:uiPriority w:val="99"/>
    <w:semiHidden/>
    <w:rsid w:val="004F5E0E"/>
    <w:pPr>
      <w:numPr>
        <w:numId w:val="14"/>
      </w:numPr>
      <w:contextualSpacing/>
    </w:pPr>
  </w:style>
  <w:style w:type="paragraph" w:styleId="ListBullet5">
    <w:name w:val="List Bullet 5"/>
    <w:basedOn w:val="Normal"/>
    <w:uiPriority w:val="99"/>
    <w:semiHidden/>
    <w:rsid w:val="004F5E0E"/>
    <w:pPr>
      <w:numPr>
        <w:numId w:val="15"/>
      </w:numPr>
      <w:contextualSpacing/>
    </w:pPr>
  </w:style>
  <w:style w:type="paragraph" w:styleId="ListContinue">
    <w:name w:val="List Continue"/>
    <w:basedOn w:val="Normal"/>
    <w:uiPriority w:val="99"/>
    <w:semiHidden/>
    <w:rsid w:val="004F5E0E"/>
    <w:pPr>
      <w:spacing w:after="120"/>
      <w:ind w:left="283"/>
      <w:contextualSpacing/>
    </w:pPr>
  </w:style>
  <w:style w:type="paragraph" w:styleId="ListContinue2">
    <w:name w:val="List Continue 2"/>
    <w:basedOn w:val="Normal"/>
    <w:uiPriority w:val="99"/>
    <w:semiHidden/>
    <w:rsid w:val="004F5E0E"/>
    <w:pPr>
      <w:spacing w:after="120"/>
      <w:ind w:left="566"/>
      <w:contextualSpacing/>
    </w:pPr>
  </w:style>
  <w:style w:type="paragraph" w:styleId="ListContinue3">
    <w:name w:val="List Continue 3"/>
    <w:basedOn w:val="Normal"/>
    <w:uiPriority w:val="99"/>
    <w:semiHidden/>
    <w:rsid w:val="004F5E0E"/>
    <w:pPr>
      <w:spacing w:after="120"/>
      <w:ind w:left="849"/>
      <w:contextualSpacing/>
    </w:pPr>
  </w:style>
  <w:style w:type="paragraph" w:styleId="ListContinue4">
    <w:name w:val="List Continue 4"/>
    <w:basedOn w:val="Normal"/>
    <w:uiPriority w:val="99"/>
    <w:semiHidden/>
    <w:rsid w:val="004F5E0E"/>
    <w:pPr>
      <w:spacing w:after="120"/>
      <w:ind w:left="1132"/>
      <w:contextualSpacing/>
    </w:pPr>
  </w:style>
  <w:style w:type="paragraph" w:styleId="ListContinue5">
    <w:name w:val="List Continue 5"/>
    <w:basedOn w:val="Normal"/>
    <w:uiPriority w:val="99"/>
    <w:semiHidden/>
    <w:rsid w:val="004F5E0E"/>
    <w:pPr>
      <w:spacing w:after="120"/>
      <w:ind w:left="1415"/>
      <w:contextualSpacing/>
    </w:pPr>
  </w:style>
  <w:style w:type="paragraph" w:styleId="ListNumber2">
    <w:name w:val="List Number 2"/>
    <w:basedOn w:val="Normal"/>
    <w:uiPriority w:val="99"/>
    <w:semiHidden/>
    <w:rsid w:val="004F5E0E"/>
    <w:pPr>
      <w:numPr>
        <w:numId w:val="16"/>
      </w:numPr>
      <w:contextualSpacing/>
    </w:pPr>
  </w:style>
  <w:style w:type="paragraph" w:styleId="ListNumber3">
    <w:name w:val="List Number 3"/>
    <w:basedOn w:val="Normal"/>
    <w:uiPriority w:val="99"/>
    <w:semiHidden/>
    <w:rsid w:val="004F5E0E"/>
    <w:pPr>
      <w:numPr>
        <w:numId w:val="17"/>
      </w:numPr>
      <w:contextualSpacing/>
    </w:pPr>
  </w:style>
  <w:style w:type="paragraph" w:styleId="ListNumber4">
    <w:name w:val="List Number 4"/>
    <w:basedOn w:val="Normal"/>
    <w:uiPriority w:val="99"/>
    <w:semiHidden/>
    <w:rsid w:val="004F5E0E"/>
    <w:pPr>
      <w:numPr>
        <w:numId w:val="18"/>
      </w:numPr>
      <w:contextualSpacing/>
    </w:pPr>
  </w:style>
  <w:style w:type="paragraph" w:styleId="ListNumber5">
    <w:name w:val="List Number 5"/>
    <w:basedOn w:val="Normal"/>
    <w:uiPriority w:val="99"/>
    <w:semiHidden/>
    <w:rsid w:val="004F5E0E"/>
    <w:pPr>
      <w:numPr>
        <w:numId w:val="19"/>
      </w:numPr>
      <w:contextualSpacing/>
    </w:pPr>
  </w:style>
  <w:style w:type="paragraph" w:styleId="MacroText">
    <w:name w:val="macro"/>
    <w:link w:val="MacroTextChar"/>
    <w:uiPriority w:val="99"/>
    <w:semiHidden/>
    <w:rsid w:val="004F5E0E"/>
    <w:pPr>
      <w:tabs>
        <w:tab w:val="left" w:pos="480"/>
        <w:tab w:val="left" w:pos="960"/>
        <w:tab w:val="left" w:pos="1440"/>
        <w:tab w:val="left" w:pos="1920"/>
        <w:tab w:val="left" w:pos="2400"/>
        <w:tab w:val="left" w:pos="2880"/>
        <w:tab w:val="left" w:pos="3360"/>
        <w:tab w:val="left" w:pos="3840"/>
        <w:tab w:val="left" w:pos="4320"/>
      </w:tabs>
      <w:spacing w:before="120" w:after="0"/>
    </w:pPr>
    <w:rPr>
      <w:rFonts w:ascii="Consolas" w:hAnsi="Consolas" w:cs="Consolas"/>
    </w:rPr>
  </w:style>
  <w:style w:type="character" w:customStyle="1" w:styleId="MacroTextChar">
    <w:name w:val="Macro Text Char"/>
    <w:basedOn w:val="DefaultParagraphFont"/>
    <w:link w:val="MacroText"/>
    <w:uiPriority w:val="99"/>
    <w:semiHidden/>
    <w:rsid w:val="004F5E0E"/>
    <w:rPr>
      <w:rFonts w:ascii="Consolas" w:hAnsi="Consolas" w:cs="Consolas"/>
    </w:rPr>
  </w:style>
  <w:style w:type="table" w:styleId="MediumGrid1">
    <w:name w:val="Medium Grid 1"/>
    <w:basedOn w:val="TableNormal"/>
    <w:uiPriority w:val="67"/>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insideV w:val="single" w:sz="8" w:space="0" w:color="2CBBFF" w:themeColor="accent1" w:themeTint="BF"/>
      </w:tblBorders>
    </w:tblPr>
    <w:tcPr>
      <w:shd w:val="clear" w:color="auto" w:fill="B9E8FF" w:themeFill="accent1" w:themeFillTint="3F"/>
    </w:tcPr>
    <w:tblStylePr w:type="firstRow">
      <w:rPr>
        <w:b/>
        <w:bCs/>
      </w:rPr>
    </w:tblStylePr>
    <w:tblStylePr w:type="lastRow">
      <w:rPr>
        <w:b/>
        <w:bCs/>
      </w:rPr>
      <w:tblPr/>
      <w:tcPr>
        <w:tcBorders>
          <w:top w:val="single" w:sz="18" w:space="0" w:color="2CBBFF" w:themeColor="accent1" w:themeTint="BF"/>
        </w:tcBorders>
      </w:tcPr>
    </w:tblStylePr>
    <w:tblStylePr w:type="firstCol">
      <w:rPr>
        <w:b/>
        <w:bCs/>
      </w:rPr>
    </w:tblStylePr>
    <w:tblStylePr w:type="lastCol">
      <w:rPr>
        <w:b/>
        <w:bCs/>
      </w:rPr>
    </w:tblStylePr>
    <w:tblStylePr w:type="band1Vert">
      <w:tblPr/>
      <w:tcPr>
        <w:shd w:val="clear" w:color="auto" w:fill="73D1FF" w:themeFill="accent1" w:themeFillTint="7F"/>
      </w:tcPr>
    </w:tblStylePr>
    <w:tblStylePr w:type="band1Horz">
      <w:tblPr/>
      <w:tcPr>
        <w:shd w:val="clear" w:color="auto" w:fill="73D1FF" w:themeFill="accent1" w:themeFillTint="7F"/>
      </w:tcPr>
    </w:tblStylePr>
  </w:style>
  <w:style w:type="table" w:styleId="MediumGrid1-Accent2">
    <w:name w:val="Medium Grid 1 Accent 2"/>
    <w:basedOn w:val="TableNormal"/>
    <w:uiPriority w:val="67"/>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insideV w:val="single" w:sz="8" w:space="0" w:color="FFBE16" w:themeColor="accent2" w:themeTint="BF"/>
      </w:tblBorders>
    </w:tblPr>
    <w:tcPr>
      <w:shd w:val="clear" w:color="auto" w:fill="FFE9B2" w:themeFill="accent2" w:themeFillTint="3F"/>
    </w:tcPr>
    <w:tblStylePr w:type="firstRow">
      <w:rPr>
        <w:b/>
        <w:bCs/>
      </w:rPr>
    </w:tblStylePr>
    <w:tblStylePr w:type="lastRow">
      <w:rPr>
        <w:b/>
        <w:bCs/>
      </w:rPr>
      <w:tblPr/>
      <w:tcPr>
        <w:tcBorders>
          <w:top w:val="single" w:sz="18" w:space="0" w:color="FFBE16" w:themeColor="accent2" w:themeTint="BF"/>
        </w:tcBorders>
      </w:tcPr>
    </w:tblStylePr>
    <w:tblStylePr w:type="firstCol">
      <w:rPr>
        <w:b/>
        <w:bCs/>
      </w:rPr>
    </w:tblStylePr>
    <w:tblStylePr w:type="lastCol">
      <w:rPr>
        <w:b/>
        <w:bCs/>
      </w:rPr>
    </w:tblStylePr>
    <w:tblStylePr w:type="band1Vert">
      <w:tblPr/>
      <w:tcPr>
        <w:shd w:val="clear" w:color="auto" w:fill="FFD364" w:themeFill="accent2" w:themeFillTint="7F"/>
      </w:tcPr>
    </w:tblStylePr>
    <w:tblStylePr w:type="band1Horz">
      <w:tblPr/>
      <w:tcPr>
        <w:shd w:val="clear" w:color="auto" w:fill="FFD364" w:themeFill="accent2" w:themeFillTint="7F"/>
      </w:tcPr>
    </w:tblStylePr>
  </w:style>
  <w:style w:type="table" w:styleId="MediumGrid1-Accent3">
    <w:name w:val="Medium Grid 1 Accent 3"/>
    <w:basedOn w:val="TableNormal"/>
    <w:uiPriority w:val="67"/>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insideV w:val="single" w:sz="8" w:space="0" w:color="198BFF" w:themeColor="accent3" w:themeTint="BF"/>
      </w:tblBorders>
    </w:tblPr>
    <w:tcPr>
      <w:shd w:val="clear" w:color="auto" w:fill="B3D9FF" w:themeFill="accent3" w:themeFillTint="3F"/>
    </w:tcPr>
    <w:tblStylePr w:type="firstRow">
      <w:rPr>
        <w:b/>
        <w:bCs/>
      </w:rPr>
    </w:tblStylePr>
    <w:tblStylePr w:type="lastRow">
      <w:rPr>
        <w:b/>
        <w:bCs/>
      </w:rPr>
      <w:tblPr/>
      <w:tcPr>
        <w:tcBorders>
          <w:top w:val="single" w:sz="18" w:space="0" w:color="198BFF" w:themeColor="accent3" w:themeTint="BF"/>
        </w:tcBorders>
      </w:tcPr>
    </w:tblStylePr>
    <w:tblStylePr w:type="firstCol">
      <w:rPr>
        <w:b/>
        <w:bCs/>
      </w:rPr>
    </w:tblStylePr>
    <w:tblStylePr w:type="lastCol">
      <w:rPr>
        <w:b/>
        <w:bCs/>
      </w:rPr>
    </w:tblStylePr>
    <w:tblStylePr w:type="band1Vert">
      <w:tblPr/>
      <w:tcPr>
        <w:shd w:val="clear" w:color="auto" w:fill="66B2FF" w:themeFill="accent3" w:themeFillTint="7F"/>
      </w:tcPr>
    </w:tblStylePr>
    <w:tblStylePr w:type="band1Horz">
      <w:tblPr/>
      <w:tcPr>
        <w:shd w:val="clear" w:color="auto" w:fill="66B2FF" w:themeFill="accent3" w:themeFillTint="7F"/>
      </w:tcPr>
    </w:tblStylePr>
  </w:style>
  <w:style w:type="table" w:styleId="MediumGrid1-Accent4">
    <w:name w:val="Medium Grid 1 Accent 4"/>
    <w:basedOn w:val="TableNormal"/>
    <w:uiPriority w:val="67"/>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insideV w:val="single" w:sz="8" w:space="0" w:color="FF2A59" w:themeColor="accent4" w:themeTint="BF"/>
      </w:tblBorders>
    </w:tblPr>
    <w:tcPr>
      <w:shd w:val="clear" w:color="auto" w:fill="FFB8C8" w:themeFill="accent4" w:themeFillTint="3F"/>
    </w:tcPr>
    <w:tblStylePr w:type="firstRow">
      <w:rPr>
        <w:b/>
        <w:bCs/>
      </w:rPr>
    </w:tblStylePr>
    <w:tblStylePr w:type="lastRow">
      <w:rPr>
        <w:b/>
        <w:bCs/>
      </w:rPr>
      <w:tblPr/>
      <w:tcPr>
        <w:tcBorders>
          <w:top w:val="single" w:sz="18" w:space="0" w:color="FF2A59" w:themeColor="accent4" w:themeTint="BF"/>
        </w:tcBorders>
      </w:tcPr>
    </w:tblStylePr>
    <w:tblStylePr w:type="firstCol">
      <w:rPr>
        <w:b/>
        <w:bCs/>
      </w:rPr>
    </w:tblStylePr>
    <w:tblStylePr w:type="lastCol">
      <w:rPr>
        <w:b/>
        <w:bCs/>
      </w:rPr>
    </w:tblStylePr>
    <w:tblStylePr w:type="band1Vert">
      <w:tblPr/>
      <w:tcPr>
        <w:shd w:val="clear" w:color="auto" w:fill="FF7191" w:themeFill="accent4" w:themeFillTint="7F"/>
      </w:tcPr>
    </w:tblStylePr>
    <w:tblStylePr w:type="band1Horz">
      <w:tblPr/>
      <w:tcPr>
        <w:shd w:val="clear" w:color="auto" w:fill="FF7191" w:themeFill="accent4" w:themeFillTint="7F"/>
      </w:tcPr>
    </w:tblStylePr>
  </w:style>
  <w:style w:type="table" w:styleId="MediumGrid1-Accent5">
    <w:name w:val="Medium Grid 1 Accent 5"/>
    <w:basedOn w:val="TableNormal"/>
    <w:uiPriority w:val="67"/>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insideV w:val="single" w:sz="8" w:space="0" w:color="FFB240" w:themeColor="accent5" w:themeTint="BF"/>
      </w:tblBorders>
    </w:tblPr>
    <w:tcPr>
      <w:shd w:val="clear" w:color="auto" w:fill="FFE5C0" w:themeFill="accent5" w:themeFillTint="3F"/>
    </w:tcPr>
    <w:tblStylePr w:type="firstRow">
      <w:rPr>
        <w:b/>
        <w:bCs/>
      </w:rPr>
    </w:tblStylePr>
    <w:tblStylePr w:type="lastRow">
      <w:rPr>
        <w:b/>
        <w:bCs/>
      </w:rPr>
      <w:tblPr/>
      <w:tcPr>
        <w:tcBorders>
          <w:top w:val="single" w:sz="18" w:space="0" w:color="FFB240" w:themeColor="accent5" w:themeTint="BF"/>
        </w:tcBorders>
      </w:tcPr>
    </w:tblStylePr>
    <w:tblStylePr w:type="firstCol">
      <w:rPr>
        <w:b/>
        <w:bCs/>
      </w:rPr>
    </w:tblStylePr>
    <w:tblStylePr w:type="lastCol">
      <w:rPr>
        <w:b/>
        <w:bCs/>
      </w:rPr>
    </w:tblStylePr>
    <w:tblStylePr w:type="band1Vert">
      <w:tblPr/>
      <w:tcPr>
        <w:shd w:val="clear" w:color="auto" w:fill="FFCC80" w:themeFill="accent5" w:themeFillTint="7F"/>
      </w:tcPr>
    </w:tblStylePr>
    <w:tblStylePr w:type="band1Horz">
      <w:tblPr/>
      <w:tcPr>
        <w:shd w:val="clear" w:color="auto" w:fill="FFCC80" w:themeFill="accent5" w:themeFillTint="7F"/>
      </w:tcPr>
    </w:tblStylePr>
  </w:style>
  <w:style w:type="table" w:styleId="MediumGrid1-Accent6">
    <w:name w:val="Medium Grid 1 Accent 6"/>
    <w:basedOn w:val="TableNormal"/>
    <w:uiPriority w:val="67"/>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insideV w:val="single" w:sz="8" w:space="0" w:color="FFD840" w:themeColor="accent6" w:themeTint="BF"/>
      </w:tblBorders>
    </w:tblPr>
    <w:tcPr>
      <w:shd w:val="clear" w:color="auto" w:fill="FFF2C0" w:themeFill="accent6" w:themeFillTint="3F"/>
    </w:tcPr>
    <w:tblStylePr w:type="firstRow">
      <w:rPr>
        <w:b/>
        <w:bCs/>
      </w:rPr>
    </w:tblStylePr>
    <w:tblStylePr w:type="lastRow">
      <w:rPr>
        <w:b/>
        <w:bCs/>
      </w:rPr>
      <w:tblPr/>
      <w:tcPr>
        <w:tcBorders>
          <w:top w:val="single" w:sz="18" w:space="0" w:color="FFD840" w:themeColor="accent6" w:themeTint="BF"/>
        </w:tcBorders>
      </w:tcPr>
    </w:tblStylePr>
    <w:tblStylePr w:type="firstCol">
      <w:rPr>
        <w:b/>
        <w:bCs/>
      </w:rPr>
    </w:tblStylePr>
    <w:tblStylePr w:type="lastCol">
      <w:rPr>
        <w:b/>
        <w:bCs/>
      </w:rPr>
    </w:tblStylePr>
    <w:tblStylePr w:type="band1Vert">
      <w:tblPr/>
      <w:tcPr>
        <w:shd w:val="clear" w:color="auto" w:fill="FFE580" w:themeFill="accent6" w:themeFillTint="7F"/>
      </w:tcPr>
    </w:tblStylePr>
    <w:tblStylePr w:type="band1Horz">
      <w:tblPr/>
      <w:tcPr>
        <w:shd w:val="clear" w:color="auto" w:fill="FFE580" w:themeFill="accent6" w:themeFillTint="7F"/>
      </w:tcPr>
    </w:tblStylePr>
  </w:style>
  <w:style w:type="table" w:styleId="MediumGrid2">
    <w:name w:val="Medium Grid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insideH w:val="single" w:sz="8" w:space="0" w:color="009CE5" w:themeColor="accent1"/>
        <w:insideV w:val="single" w:sz="8" w:space="0" w:color="009CE5" w:themeColor="accent1"/>
      </w:tblBorders>
    </w:tblPr>
    <w:tcPr>
      <w:shd w:val="clear" w:color="auto" w:fill="B9E8FF" w:themeFill="accent1" w:themeFillTint="3F"/>
    </w:tcPr>
    <w:tblStylePr w:type="firstRow">
      <w:rPr>
        <w:b/>
        <w:bCs/>
        <w:color w:val="000000" w:themeColor="text1"/>
      </w:rPr>
      <w:tblPr/>
      <w:tcPr>
        <w:shd w:val="clear" w:color="auto" w:fill="E3F6FF"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6ECFF" w:themeFill="accent1" w:themeFillTint="33"/>
      </w:tcPr>
    </w:tblStylePr>
    <w:tblStylePr w:type="band1Vert">
      <w:tblPr/>
      <w:tcPr>
        <w:shd w:val="clear" w:color="auto" w:fill="73D1FF" w:themeFill="accent1" w:themeFillTint="7F"/>
      </w:tcPr>
    </w:tblStylePr>
    <w:tblStylePr w:type="band1Horz">
      <w:tblPr/>
      <w:tcPr>
        <w:tcBorders>
          <w:insideH w:val="single" w:sz="6" w:space="0" w:color="009CE5" w:themeColor="accent1"/>
          <w:insideV w:val="single" w:sz="6" w:space="0" w:color="009CE5" w:themeColor="accent1"/>
        </w:tcBorders>
        <w:shd w:val="clear" w:color="auto" w:fill="73D1FF"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insideH w:val="single" w:sz="8" w:space="0" w:color="C79000" w:themeColor="accent2"/>
        <w:insideV w:val="single" w:sz="8" w:space="0" w:color="C79000" w:themeColor="accent2"/>
      </w:tblBorders>
    </w:tblPr>
    <w:tcPr>
      <w:shd w:val="clear" w:color="auto" w:fill="FFE9B2" w:themeFill="accent2" w:themeFillTint="3F"/>
    </w:tcPr>
    <w:tblStylePr w:type="firstRow">
      <w:rPr>
        <w:b/>
        <w:bCs/>
        <w:color w:val="000000" w:themeColor="text1"/>
      </w:rPr>
      <w:tblPr/>
      <w:tcPr>
        <w:shd w:val="clear" w:color="auto" w:fill="FFF6E0"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DC0" w:themeFill="accent2" w:themeFillTint="33"/>
      </w:tcPr>
    </w:tblStylePr>
    <w:tblStylePr w:type="band1Vert">
      <w:tblPr/>
      <w:tcPr>
        <w:shd w:val="clear" w:color="auto" w:fill="FFD364" w:themeFill="accent2" w:themeFillTint="7F"/>
      </w:tcPr>
    </w:tblStylePr>
    <w:tblStylePr w:type="band1Horz">
      <w:tblPr/>
      <w:tcPr>
        <w:tcBorders>
          <w:insideH w:val="single" w:sz="6" w:space="0" w:color="C79000" w:themeColor="accent2"/>
          <w:insideV w:val="single" w:sz="6" w:space="0" w:color="C79000" w:themeColor="accent2"/>
        </w:tcBorders>
        <w:shd w:val="clear" w:color="auto" w:fill="FFD36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insideH w:val="single" w:sz="8" w:space="0" w:color="0066CC" w:themeColor="accent3"/>
        <w:insideV w:val="single" w:sz="8" w:space="0" w:color="0066CC" w:themeColor="accent3"/>
      </w:tblBorders>
    </w:tblPr>
    <w:tcPr>
      <w:shd w:val="clear" w:color="auto" w:fill="B3D9FF" w:themeFill="accent3" w:themeFillTint="3F"/>
    </w:tcPr>
    <w:tblStylePr w:type="firstRow">
      <w:rPr>
        <w:b/>
        <w:bCs/>
        <w:color w:val="000000" w:themeColor="text1"/>
      </w:rPr>
      <w:tblPr/>
      <w:tcPr>
        <w:shd w:val="clear" w:color="auto" w:fill="E1EFFF"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0FF" w:themeFill="accent3" w:themeFillTint="33"/>
      </w:tcPr>
    </w:tblStylePr>
    <w:tblStylePr w:type="band1Vert">
      <w:tblPr/>
      <w:tcPr>
        <w:shd w:val="clear" w:color="auto" w:fill="66B2FF" w:themeFill="accent3" w:themeFillTint="7F"/>
      </w:tcPr>
    </w:tblStylePr>
    <w:tblStylePr w:type="band1Horz">
      <w:tblPr/>
      <w:tcPr>
        <w:tcBorders>
          <w:insideH w:val="single" w:sz="6" w:space="0" w:color="0066CC" w:themeColor="accent3"/>
          <w:insideV w:val="single" w:sz="6" w:space="0" w:color="0066CC" w:themeColor="accent3"/>
        </w:tcBorders>
        <w:shd w:val="clear" w:color="auto" w:fill="66B2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insideH w:val="single" w:sz="8" w:space="0" w:color="E20033" w:themeColor="accent4"/>
        <w:insideV w:val="single" w:sz="8" w:space="0" w:color="E20033" w:themeColor="accent4"/>
      </w:tblBorders>
    </w:tblPr>
    <w:tcPr>
      <w:shd w:val="clear" w:color="auto" w:fill="FFB8C8" w:themeFill="accent4" w:themeFillTint="3F"/>
    </w:tcPr>
    <w:tblStylePr w:type="firstRow">
      <w:rPr>
        <w:b/>
        <w:bCs/>
        <w:color w:val="000000" w:themeColor="text1"/>
      </w:rPr>
      <w:tblPr/>
      <w:tcPr>
        <w:shd w:val="clear" w:color="auto" w:fill="FFE3E9"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6D2" w:themeFill="accent4" w:themeFillTint="33"/>
      </w:tcPr>
    </w:tblStylePr>
    <w:tblStylePr w:type="band1Vert">
      <w:tblPr/>
      <w:tcPr>
        <w:shd w:val="clear" w:color="auto" w:fill="FF7191" w:themeFill="accent4" w:themeFillTint="7F"/>
      </w:tcPr>
    </w:tblStylePr>
    <w:tblStylePr w:type="band1Horz">
      <w:tblPr/>
      <w:tcPr>
        <w:tcBorders>
          <w:insideH w:val="single" w:sz="6" w:space="0" w:color="E20033" w:themeColor="accent4"/>
          <w:insideV w:val="single" w:sz="6" w:space="0" w:color="E20033" w:themeColor="accent4"/>
        </w:tcBorders>
        <w:shd w:val="clear" w:color="auto" w:fill="FF7191"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insideH w:val="single" w:sz="8" w:space="0" w:color="FF9900" w:themeColor="accent5"/>
        <w:insideV w:val="single" w:sz="8" w:space="0" w:color="FF9900" w:themeColor="accent5"/>
      </w:tblBorders>
    </w:tblPr>
    <w:tcPr>
      <w:shd w:val="clear" w:color="auto" w:fill="FFE5C0" w:themeFill="accent5" w:themeFillTint="3F"/>
    </w:tcPr>
    <w:tblStylePr w:type="firstRow">
      <w:rPr>
        <w:b/>
        <w:bCs/>
        <w:color w:val="000000" w:themeColor="text1"/>
      </w:rPr>
      <w:tblPr/>
      <w:tcPr>
        <w:shd w:val="clear" w:color="auto" w:fill="FFF5E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EACC" w:themeFill="accent5" w:themeFillTint="33"/>
      </w:tcPr>
    </w:tblStylePr>
    <w:tblStylePr w:type="band1Vert">
      <w:tblPr/>
      <w:tcPr>
        <w:shd w:val="clear" w:color="auto" w:fill="FFCC80" w:themeFill="accent5" w:themeFillTint="7F"/>
      </w:tcPr>
    </w:tblStylePr>
    <w:tblStylePr w:type="band1Horz">
      <w:tblPr/>
      <w:tcPr>
        <w:tcBorders>
          <w:insideH w:val="single" w:sz="6" w:space="0" w:color="FF9900" w:themeColor="accent5"/>
          <w:insideV w:val="single" w:sz="6" w:space="0" w:color="FF9900" w:themeColor="accent5"/>
        </w:tcBorders>
        <w:shd w:val="clear" w:color="auto" w:fill="FFCC8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insideH w:val="single" w:sz="8" w:space="0" w:color="FFCC00" w:themeColor="accent6"/>
        <w:insideV w:val="single" w:sz="8" w:space="0" w:color="FFCC00" w:themeColor="accent6"/>
      </w:tblBorders>
    </w:tblPr>
    <w:tcPr>
      <w:shd w:val="clear" w:color="auto" w:fill="FFF2C0" w:themeFill="accent6" w:themeFillTint="3F"/>
    </w:tcPr>
    <w:tblStylePr w:type="firstRow">
      <w:rPr>
        <w:b/>
        <w:bCs/>
        <w:color w:val="000000" w:themeColor="text1"/>
      </w:rPr>
      <w:tblPr/>
      <w:tcPr>
        <w:shd w:val="clear" w:color="auto" w:fill="FFFAE6"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4CC" w:themeFill="accent6" w:themeFillTint="33"/>
      </w:tcPr>
    </w:tblStylePr>
    <w:tblStylePr w:type="band1Vert">
      <w:tblPr/>
      <w:tcPr>
        <w:shd w:val="clear" w:color="auto" w:fill="FFE580" w:themeFill="accent6" w:themeFillTint="7F"/>
      </w:tcPr>
    </w:tblStylePr>
    <w:tblStylePr w:type="band1Horz">
      <w:tblPr/>
      <w:tcPr>
        <w:tcBorders>
          <w:insideH w:val="single" w:sz="6" w:space="0" w:color="FFCC00" w:themeColor="accent6"/>
          <w:insideV w:val="single" w:sz="6" w:space="0" w:color="FFCC00" w:themeColor="accent6"/>
        </w:tcBorders>
        <w:shd w:val="clear" w:color="auto" w:fill="FFE58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9E8FF"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9CE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9CE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9CE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3D1FF"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3D1FF" w:themeFill="accent1" w:themeFillTint="7F"/>
      </w:tcPr>
    </w:tblStylePr>
  </w:style>
  <w:style w:type="table" w:styleId="MediumGrid3-Accent2">
    <w:name w:val="Medium Grid 3 Accent 2"/>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9B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79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79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79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36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364" w:themeFill="accent2" w:themeFillTint="7F"/>
      </w:tcPr>
    </w:tblStylePr>
  </w:style>
  <w:style w:type="table" w:styleId="MediumGrid3-Accent3">
    <w:name w:val="Medium Grid 3 Accent 3"/>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D9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66C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66C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66C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B2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B2FF" w:themeFill="accent3" w:themeFillTint="7F"/>
      </w:tcPr>
    </w:tblStylePr>
  </w:style>
  <w:style w:type="table" w:styleId="MediumGrid3-Accent4">
    <w:name w:val="Medium Grid 3 Accent 4"/>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B8C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20033"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20033"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20033"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7191"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7191" w:themeFill="accent4" w:themeFillTint="7F"/>
      </w:tcPr>
    </w:tblStylePr>
  </w:style>
  <w:style w:type="table" w:styleId="MediumGrid3-Accent5">
    <w:name w:val="Medium Grid 3 Accent 5"/>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5C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9900"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9900"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9900"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CC8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CC80" w:themeFill="accent5" w:themeFillTint="7F"/>
      </w:tcPr>
    </w:tblStylePr>
  </w:style>
  <w:style w:type="table" w:styleId="MediumGrid3-Accent6">
    <w:name w:val="Medium Grid 3 Accent 6"/>
    <w:basedOn w:val="TableNormal"/>
    <w:uiPriority w:val="69"/>
    <w:rsid w:val="004F5E0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F2C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C00"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C00"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C00"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E58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E580" w:themeFill="accent6" w:themeFillTint="7F"/>
      </w:tcPr>
    </w:tblStylePr>
  </w:style>
  <w:style w:type="table" w:styleId="MediumList1">
    <w:name w:val="Medium List 1"/>
    <w:basedOn w:val="TableNormal"/>
    <w:uiPriority w:val="65"/>
    <w:rsid w:val="004F5E0E"/>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9CE5"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F5E0E"/>
    <w:pPr>
      <w:spacing w:after="0" w:line="240" w:lineRule="auto"/>
    </w:pPr>
    <w:rPr>
      <w:color w:val="000000" w:themeColor="text1"/>
    </w:rPr>
    <w:tblPr>
      <w:tblStyleRowBandSize w:val="1"/>
      <w:tblStyleColBandSize w:val="1"/>
      <w:tblBorders>
        <w:top w:val="single" w:sz="8" w:space="0" w:color="009CE5" w:themeColor="accent1"/>
        <w:bottom w:val="single" w:sz="8" w:space="0" w:color="009CE5" w:themeColor="accent1"/>
      </w:tblBorders>
    </w:tblPr>
    <w:tblStylePr w:type="firstRow">
      <w:rPr>
        <w:rFonts w:asciiTheme="majorHAnsi" w:eastAsiaTheme="majorEastAsia" w:hAnsiTheme="majorHAnsi" w:cstheme="majorBidi"/>
      </w:rPr>
      <w:tblPr/>
      <w:tcPr>
        <w:tcBorders>
          <w:top w:val="nil"/>
          <w:bottom w:val="single" w:sz="8" w:space="0" w:color="009CE5" w:themeColor="accent1"/>
        </w:tcBorders>
      </w:tcPr>
    </w:tblStylePr>
    <w:tblStylePr w:type="lastRow">
      <w:rPr>
        <w:b/>
        <w:bCs/>
        <w:color w:val="009CE5" w:themeColor="text2"/>
      </w:rPr>
      <w:tblPr/>
      <w:tcPr>
        <w:tcBorders>
          <w:top w:val="single" w:sz="8" w:space="0" w:color="009CE5" w:themeColor="accent1"/>
          <w:bottom w:val="single" w:sz="8" w:space="0" w:color="009CE5" w:themeColor="accent1"/>
        </w:tcBorders>
      </w:tcPr>
    </w:tblStylePr>
    <w:tblStylePr w:type="firstCol">
      <w:rPr>
        <w:b/>
        <w:bCs/>
      </w:rPr>
    </w:tblStylePr>
    <w:tblStylePr w:type="lastCol">
      <w:rPr>
        <w:b/>
        <w:bCs/>
      </w:rPr>
      <w:tblPr/>
      <w:tcPr>
        <w:tcBorders>
          <w:top w:val="single" w:sz="8" w:space="0" w:color="009CE5" w:themeColor="accent1"/>
          <w:bottom w:val="single" w:sz="8" w:space="0" w:color="009CE5" w:themeColor="accent1"/>
        </w:tcBorders>
      </w:tcPr>
    </w:tblStylePr>
    <w:tblStylePr w:type="band1Vert">
      <w:tblPr/>
      <w:tcPr>
        <w:shd w:val="clear" w:color="auto" w:fill="B9E8FF" w:themeFill="accent1" w:themeFillTint="3F"/>
      </w:tcPr>
    </w:tblStylePr>
    <w:tblStylePr w:type="band1Horz">
      <w:tblPr/>
      <w:tcPr>
        <w:shd w:val="clear" w:color="auto" w:fill="B9E8FF" w:themeFill="accent1" w:themeFillTint="3F"/>
      </w:tcPr>
    </w:tblStylePr>
  </w:style>
  <w:style w:type="table" w:styleId="MediumList1-Accent2">
    <w:name w:val="Medium List 1 Accent 2"/>
    <w:basedOn w:val="TableNormal"/>
    <w:uiPriority w:val="65"/>
    <w:rsid w:val="004F5E0E"/>
    <w:pPr>
      <w:spacing w:after="0" w:line="240" w:lineRule="auto"/>
    </w:pPr>
    <w:rPr>
      <w:color w:val="000000" w:themeColor="text1"/>
    </w:rPr>
    <w:tblPr>
      <w:tblStyleRowBandSize w:val="1"/>
      <w:tblStyleColBandSize w:val="1"/>
      <w:tblBorders>
        <w:top w:val="single" w:sz="8" w:space="0" w:color="C79000" w:themeColor="accent2"/>
        <w:bottom w:val="single" w:sz="8" w:space="0" w:color="C79000" w:themeColor="accent2"/>
      </w:tblBorders>
    </w:tblPr>
    <w:tblStylePr w:type="firstRow">
      <w:rPr>
        <w:rFonts w:asciiTheme="majorHAnsi" w:eastAsiaTheme="majorEastAsia" w:hAnsiTheme="majorHAnsi" w:cstheme="majorBidi"/>
      </w:rPr>
      <w:tblPr/>
      <w:tcPr>
        <w:tcBorders>
          <w:top w:val="nil"/>
          <w:bottom w:val="single" w:sz="8" w:space="0" w:color="C79000" w:themeColor="accent2"/>
        </w:tcBorders>
      </w:tcPr>
    </w:tblStylePr>
    <w:tblStylePr w:type="lastRow">
      <w:rPr>
        <w:b/>
        <w:bCs/>
        <w:color w:val="009CE5" w:themeColor="text2"/>
      </w:rPr>
      <w:tblPr/>
      <w:tcPr>
        <w:tcBorders>
          <w:top w:val="single" w:sz="8" w:space="0" w:color="C79000" w:themeColor="accent2"/>
          <w:bottom w:val="single" w:sz="8" w:space="0" w:color="C79000" w:themeColor="accent2"/>
        </w:tcBorders>
      </w:tcPr>
    </w:tblStylePr>
    <w:tblStylePr w:type="firstCol">
      <w:rPr>
        <w:b/>
        <w:bCs/>
      </w:rPr>
    </w:tblStylePr>
    <w:tblStylePr w:type="lastCol">
      <w:rPr>
        <w:b/>
        <w:bCs/>
      </w:rPr>
      <w:tblPr/>
      <w:tcPr>
        <w:tcBorders>
          <w:top w:val="single" w:sz="8" w:space="0" w:color="C79000" w:themeColor="accent2"/>
          <w:bottom w:val="single" w:sz="8" w:space="0" w:color="C79000" w:themeColor="accent2"/>
        </w:tcBorders>
      </w:tcPr>
    </w:tblStylePr>
    <w:tblStylePr w:type="band1Vert">
      <w:tblPr/>
      <w:tcPr>
        <w:shd w:val="clear" w:color="auto" w:fill="FFE9B2" w:themeFill="accent2" w:themeFillTint="3F"/>
      </w:tcPr>
    </w:tblStylePr>
    <w:tblStylePr w:type="band1Horz">
      <w:tblPr/>
      <w:tcPr>
        <w:shd w:val="clear" w:color="auto" w:fill="FFE9B2" w:themeFill="accent2" w:themeFillTint="3F"/>
      </w:tcPr>
    </w:tblStylePr>
  </w:style>
  <w:style w:type="table" w:styleId="MediumList1-Accent3">
    <w:name w:val="Medium List 1 Accent 3"/>
    <w:basedOn w:val="TableNormal"/>
    <w:uiPriority w:val="65"/>
    <w:rsid w:val="004F5E0E"/>
    <w:pPr>
      <w:spacing w:after="0" w:line="240" w:lineRule="auto"/>
    </w:pPr>
    <w:rPr>
      <w:color w:val="000000" w:themeColor="text1"/>
    </w:rPr>
    <w:tblPr>
      <w:tblStyleRowBandSize w:val="1"/>
      <w:tblStyleColBandSize w:val="1"/>
      <w:tblBorders>
        <w:top w:val="single" w:sz="8" w:space="0" w:color="0066CC" w:themeColor="accent3"/>
        <w:bottom w:val="single" w:sz="8" w:space="0" w:color="0066CC" w:themeColor="accent3"/>
      </w:tblBorders>
    </w:tblPr>
    <w:tblStylePr w:type="firstRow">
      <w:rPr>
        <w:rFonts w:asciiTheme="majorHAnsi" w:eastAsiaTheme="majorEastAsia" w:hAnsiTheme="majorHAnsi" w:cstheme="majorBidi"/>
      </w:rPr>
      <w:tblPr/>
      <w:tcPr>
        <w:tcBorders>
          <w:top w:val="nil"/>
          <w:bottom w:val="single" w:sz="8" w:space="0" w:color="0066CC" w:themeColor="accent3"/>
        </w:tcBorders>
      </w:tcPr>
    </w:tblStylePr>
    <w:tblStylePr w:type="lastRow">
      <w:rPr>
        <w:b/>
        <w:bCs/>
        <w:color w:val="009CE5" w:themeColor="text2"/>
      </w:rPr>
      <w:tblPr/>
      <w:tcPr>
        <w:tcBorders>
          <w:top w:val="single" w:sz="8" w:space="0" w:color="0066CC" w:themeColor="accent3"/>
          <w:bottom w:val="single" w:sz="8" w:space="0" w:color="0066CC" w:themeColor="accent3"/>
        </w:tcBorders>
      </w:tcPr>
    </w:tblStylePr>
    <w:tblStylePr w:type="firstCol">
      <w:rPr>
        <w:b/>
        <w:bCs/>
      </w:rPr>
    </w:tblStylePr>
    <w:tblStylePr w:type="lastCol">
      <w:rPr>
        <w:b/>
        <w:bCs/>
      </w:rPr>
      <w:tblPr/>
      <w:tcPr>
        <w:tcBorders>
          <w:top w:val="single" w:sz="8" w:space="0" w:color="0066CC" w:themeColor="accent3"/>
          <w:bottom w:val="single" w:sz="8" w:space="0" w:color="0066CC" w:themeColor="accent3"/>
        </w:tcBorders>
      </w:tcPr>
    </w:tblStylePr>
    <w:tblStylePr w:type="band1Vert">
      <w:tblPr/>
      <w:tcPr>
        <w:shd w:val="clear" w:color="auto" w:fill="B3D9FF" w:themeFill="accent3" w:themeFillTint="3F"/>
      </w:tcPr>
    </w:tblStylePr>
    <w:tblStylePr w:type="band1Horz">
      <w:tblPr/>
      <w:tcPr>
        <w:shd w:val="clear" w:color="auto" w:fill="B3D9FF" w:themeFill="accent3" w:themeFillTint="3F"/>
      </w:tcPr>
    </w:tblStylePr>
  </w:style>
  <w:style w:type="table" w:styleId="MediumList1-Accent4">
    <w:name w:val="Medium List 1 Accent 4"/>
    <w:basedOn w:val="TableNormal"/>
    <w:uiPriority w:val="65"/>
    <w:rsid w:val="004F5E0E"/>
    <w:pPr>
      <w:spacing w:after="0" w:line="240" w:lineRule="auto"/>
    </w:pPr>
    <w:rPr>
      <w:color w:val="000000" w:themeColor="text1"/>
    </w:rPr>
    <w:tblPr>
      <w:tblStyleRowBandSize w:val="1"/>
      <w:tblStyleColBandSize w:val="1"/>
      <w:tblBorders>
        <w:top w:val="single" w:sz="8" w:space="0" w:color="E20033" w:themeColor="accent4"/>
        <w:bottom w:val="single" w:sz="8" w:space="0" w:color="E20033" w:themeColor="accent4"/>
      </w:tblBorders>
    </w:tblPr>
    <w:tblStylePr w:type="firstRow">
      <w:rPr>
        <w:rFonts w:asciiTheme="majorHAnsi" w:eastAsiaTheme="majorEastAsia" w:hAnsiTheme="majorHAnsi" w:cstheme="majorBidi"/>
      </w:rPr>
      <w:tblPr/>
      <w:tcPr>
        <w:tcBorders>
          <w:top w:val="nil"/>
          <w:bottom w:val="single" w:sz="8" w:space="0" w:color="E20033" w:themeColor="accent4"/>
        </w:tcBorders>
      </w:tcPr>
    </w:tblStylePr>
    <w:tblStylePr w:type="lastRow">
      <w:rPr>
        <w:b/>
        <w:bCs/>
        <w:color w:val="009CE5" w:themeColor="text2"/>
      </w:rPr>
      <w:tblPr/>
      <w:tcPr>
        <w:tcBorders>
          <w:top w:val="single" w:sz="8" w:space="0" w:color="E20033" w:themeColor="accent4"/>
          <w:bottom w:val="single" w:sz="8" w:space="0" w:color="E20033" w:themeColor="accent4"/>
        </w:tcBorders>
      </w:tcPr>
    </w:tblStylePr>
    <w:tblStylePr w:type="firstCol">
      <w:rPr>
        <w:b/>
        <w:bCs/>
      </w:rPr>
    </w:tblStylePr>
    <w:tblStylePr w:type="lastCol">
      <w:rPr>
        <w:b/>
        <w:bCs/>
      </w:rPr>
      <w:tblPr/>
      <w:tcPr>
        <w:tcBorders>
          <w:top w:val="single" w:sz="8" w:space="0" w:color="E20033" w:themeColor="accent4"/>
          <w:bottom w:val="single" w:sz="8" w:space="0" w:color="E20033" w:themeColor="accent4"/>
        </w:tcBorders>
      </w:tcPr>
    </w:tblStylePr>
    <w:tblStylePr w:type="band1Vert">
      <w:tblPr/>
      <w:tcPr>
        <w:shd w:val="clear" w:color="auto" w:fill="FFB8C8" w:themeFill="accent4" w:themeFillTint="3F"/>
      </w:tcPr>
    </w:tblStylePr>
    <w:tblStylePr w:type="band1Horz">
      <w:tblPr/>
      <w:tcPr>
        <w:shd w:val="clear" w:color="auto" w:fill="FFB8C8" w:themeFill="accent4" w:themeFillTint="3F"/>
      </w:tcPr>
    </w:tblStylePr>
  </w:style>
  <w:style w:type="table" w:styleId="MediumList1-Accent5">
    <w:name w:val="Medium List 1 Accent 5"/>
    <w:basedOn w:val="TableNormal"/>
    <w:uiPriority w:val="65"/>
    <w:rsid w:val="004F5E0E"/>
    <w:pPr>
      <w:spacing w:after="0" w:line="240" w:lineRule="auto"/>
    </w:pPr>
    <w:rPr>
      <w:color w:val="000000" w:themeColor="text1"/>
    </w:rPr>
    <w:tblPr>
      <w:tblStyleRowBandSize w:val="1"/>
      <w:tblStyleColBandSize w:val="1"/>
      <w:tblBorders>
        <w:top w:val="single" w:sz="8" w:space="0" w:color="FF9900" w:themeColor="accent5"/>
        <w:bottom w:val="single" w:sz="8" w:space="0" w:color="FF9900" w:themeColor="accent5"/>
      </w:tblBorders>
    </w:tblPr>
    <w:tblStylePr w:type="firstRow">
      <w:rPr>
        <w:rFonts w:asciiTheme="majorHAnsi" w:eastAsiaTheme="majorEastAsia" w:hAnsiTheme="majorHAnsi" w:cstheme="majorBidi"/>
      </w:rPr>
      <w:tblPr/>
      <w:tcPr>
        <w:tcBorders>
          <w:top w:val="nil"/>
          <w:bottom w:val="single" w:sz="8" w:space="0" w:color="FF9900" w:themeColor="accent5"/>
        </w:tcBorders>
      </w:tcPr>
    </w:tblStylePr>
    <w:tblStylePr w:type="lastRow">
      <w:rPr>
        <w:b/>
        <w:bCs/>
        <w:color w:val="009CE5" w:themeColor="text2"/>
      </w:rPr>
      <w:tblPr/>
      <w:tcPr>
        <w:tcBorders>
          <w:top w:val="single" w:sz="8" w:space="0" w:color="FF9900" w:themeColor="accent5"/>
          <w:bottom w:val="single" w:sz="8" w:space="0" w:color="FF9900" w:themeColor="accent5"/>
        </w:tcBorders>
      </w:tcPr>
    </w:tblStylePr>
    <w:tblStylePr w:type="firstCol">
      <w:rPr>
        <w:b/>
        <w:bCs/>
      </w:rPr>
    </w:tblStylePr>
    <w:tblStylePr w:type="lastCol">
      <w:rPr>
        <w:b/>
        <w:bCs/>
      </w:rPr>
      <w:tblPr/>
      <w:tcPr>
        <w:tcBorders>
          <w:top w:val="single" w:sz="8" w:space="0" w:color="FF9900" w:themeColor="accent5"/>
          <w:bottom w:val="single" w:sz="8" w:space="0" w:color="FF9900" w:themeColor="accent5"/>
        </w:tcBorders>
      </w:tcPr>
    </w:tblStylePr>
    <w:tblStylePr w:type="band1Vert">
      <w:tblPr/>
      <w:tcPr>
        <w:shd w:val="clear" w:color="auto" w:fill="FFE5C0" w:themeFill="accent5" w:themeFillTint="3F"/>
      </w:tcPr>
    </w:tblStylePr>
    <w:tblStylePr w:type="band1Horz">
      <w:tblPr/>
      <w:tcPr>
        <w:shd w:val="clear" w:color="auto" w:fill="FFE5C0" w:themeFill="accent5" w:themeFillTint="3F"/>
      </w:tcPr>
    </w:tblStylePr>
  </w:style>
  <w:style w:type="table" w:styleId="MediumList1-Accent6">
    <w:name w:val="Medium List 1 Accent 6"/>
    <w:basedOn w:val="TableNormal"/>
    <w:uiPriority w:val="65"/>
    <w:rsid w:val="004F5E0E"/>
    <w:pPr>
      <w:spacing w:after="0" w:line="240" w:lineRule="auto"/>
    </w:pPr>
    <w:rPr>
      <w:color w:val="000000" w:themeColor="text1"/>
    </w:rPr>
    <w:tblPr>
      <w:tblStyleRowBandSize w:val="1"/>
      <w:tblStyleColBandSize w:val="1"/>
      <w:tblBorders>
        <w:top w:val="single" w:sz="8" w:space="0" w:color="FFCC00" w:themeColor="accent6"/>
        <w:bottom w:val="single" w:sz="8" w:space="0" w:color="FFCC00" w:themeColor="accent6"/>
      </w:tblBorders>
    </w:tblPr>
    <w:tblStylePr w:type="firstRow">
      <w:rPr>
        <w:rFonts w:asciiTheme="majorHAnsi" w:eastAsiaTheme="majorEastAsia" w:hAnsiTheme="majorHAnsi" w:cstheme="majorBidi"/>
      </w:rPr>
      <w:tblPr/>
      <w:tcPr>
        <w:tcBorders>
          <w:top w:val="nil"/>
          <w:bottom w:val="single" w:sz="8" w:space="0" w:color="FFCC00" w:themeColor="accent6"/>
        </w:tcBorders>
      </w:tcPr>
    </w:tblStylePr>
    <w:tblStylePr w:type="lastRow">
      <w:rPr>
        <w:b/>
        <w:bCs/>
        <w:color w:val="009CE5" w:themeColor="text2"/>
      </w:rPr>
      <w:tblPr/>
      <w:tcPr>
        <w:tcBorders>
          <w:top w:val="single" w:sz="8" w:space="0" w:color="FFCC00" w:themeColor="accent6"/>
          <w:bottom w:val="single" w:sz="8" w:space="0" w:color="FFCC00" w:themeColor="accent6"/>
        </w:tcBorders>
      </w:tcPr>
    </w:tblStylePr>
    <w:tblStylePr w:type="firstCol">
      <w:rPr>
        <w:b/>
        <w:bCs/>
      </w:rPr>
    </w:tblStylePr>
    <w:tblStylePr w:type="lastCol">
      <w:rPr>
        <w:b/>
        <w:bCs/>
      </w:rPr>
      <w:tblPr/>
      <w:tcPr>
        <w:tcBorders>
          <w:top w:val="single" w:sz="8" w:space="0" w:color="FFCC00" w:themeColor="accent6"/>
          <w:bottom w:val="single" w:sz="8" w:space="0" w:color="FFCC00" w:themeColor="accent6"/>
        </w:tcBorders>
      </w:tcPr>
    </w:tblStylePr>
    <w:tblStylePr w:type="band1Vert">
      <w:tblPr/>
      <w:tcPr>
        <w:shd w:val="clear" w:color="auto" w:fill="FFF2C0" w:themeFill="accent6" w:themeFillTint="3F"/>
      </w:tcPr>
    </w:tblStylePr>
    <w:tblStylePr w:type="band1Horz">
      <w:tblPr/>
      <w:tcPr>
        <w:shd w:val="clear" w:color="auto" w:fill="FFF2C0" w:themeFill="accent6" w:themeFillTint="3F"/>
      </w:tcPr>
    </w:tblStylePr>
  </w:style>
  <w:style w:type="table" w:styleId="MediumList2">
    <w:name w:val="Medium Lis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9CE5" w:themeColor="accent1"/>
        <w:left w:val="single" w:sz="8" w:space="0" w:color="009CE5" w:themeColor="accent1"/>
        <w:bottom w:val="single" w:sz="8" w:space="0" w:color="009CE5" w:themeColor="accent1"/>
        <w:right w:val="single" w:sz="8" w:space="0" w:color="009CE5" w:themeColor="accent1"/>
      </w:tblBorders>
    </w:tblPr>
    <w:tblStylePr w:type="firstRow">
      <w:rPr>
        <w:sz w:val="24"/>
        <w:szCs w:val="24"/>
      </w:rPr>
      <w:tblPr/>
      <w:tcPr>
        <w:tcBorders>
          <w:top w:val="nil"/>
          <w:left w:val="nil"/>
          <w:bottom w:val="single" w:sz="24" w:space="0" w:color="009CE5" w:themeColor="accent1"/>
          <w:right w:val="nil"/>
          <w:insideH w:val="nil"/>
          <w:insideV w:val="nil"/>
        </w:tcBorders>
        <w:shd w:val="clear" w:color="auto" w:fill="FFFFFF" w:themeFill="background1"/>
      </w:tcPr>
    </w:tblStylePr>
    <w:tblStylePr w:type="lastRow">
      <w:tblPr/>
      <w:tcPr>
        <w:tcBorders>
          <w:top w:val="single" w:sz="8" w:space="0" w:color="009CE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9CE5" w:themeColor="accent1"/>
          <w:insideH w:val="nil"/>
          <w:insideV w:val="nil"/>
        </w:tcBorders>
        <w:shd w:val="clear" w:color="auto" w:fill="FFFFFF" w:themeFill="background1"/>
      </w:tcPr>
    </w:tblStylePr>
    <w:tblStylePr w:type="lastCol">
      <w:tblPr/>
      <w:tcPr>
        <w:tcBorders>
          <w:top w:val="nil"/>
          <w:left w:val="single" w:sz="8" w:space="0" w:color="009CE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9E8FF" w:themeFill="accent1" w:themeFillTint="3F"/>
      </w:tcPr>
    </w:tblStylePr>
    <w:tblStylePr w:type="band1Horz">
      <w:tblPr/>
      <w:tcPr>
        <w:tcBorders>
          <w:top w:val="nil"/>
          <w:bottom w:val="nil"/>
          <w:insideH w:val="nil"/>
          <w:insideV w:val="nil"/>
        </w:tcBorders>
        <w:shd w:val="clear" w:color="auto" w:fill="B9E8FF"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79000" w:themeColor="accent2"/>
        <w:left w:val="single" w:sz="8" w:space="0" w:color="C79000" w:themeColor="accent2"/>
        <w:bottom w:val="single" w:sz="8" w:space="0" w:color="C79000" w:themeColor="accent2"/>
        <w:right w:val="single" w:sz="8" w:space="0" w:color="C79000" w:themeColor="accent2"/>
      </w:tblBorders>
    </w:tblPr>
    <w:tblStylePr w:type="firstRow">
      <w:rPr>
        <w:sz w:val="24"/>
        <w:szCs w:val="24"/>
      </w:rPr>
      <w:tblPr/>
      <w:tcPr>
        <w:tcBorders>
          <w:top w:val="nil"/>
          <w:left w:val="nil"/>
          <w:bottom w:val="single" w:sz="24" w:space="0" w:color="C79000" w:themeColor="accent2"/>
          <w:right w:val="nil"/>
          <w:insideH w:val="nil"/>
          <w:insideV w:val="nil"/>
        </w:tcBorders>
        <w:shd w:val="clear" w:color="auto" w:fill="FFFFFF" w:themeFill="background1"/>
      </w:tcPr>
    </w:tblStylePr>
    <w:tblStylePr w:type="lastRow">
      <w:tblPr/>
      <w:tcPr>
        <w:tcBorders>
          <w:top w:val="single" w:sz="8" w:space="0" w:color="C7900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79000" w:themeColor="accent2"/>
          <w:insideH w:val="nil"/>
          <w:insideV w:val="nil"/>
        </w:tcBorders>
        <w:shd w:val="clear" w:color="auto" w:fill="FFFFFF" w:themeFill="background1"/>
      </w:tcPr>
    </w:tblStylePr>
    <w:tblStylePr w:type="lastCol">
      <w:tblPr/>
      <w:tcPr>
        <w:tcBorders>
          <w:top w:val="nil"/>
          <w:left w:val="single" w:sz="8" w:space="0" w:color="C79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9B2" w:themeFill="accent2" w:themeFillTint="3F"/>
      </w:tcPr>
    </w:tblStylePr>
    <w:tblStylePr w:type="band1Horz">
      <w:tblPr/>
      <w:tcPr>
        <w:tcBorders>
          <w:top w:val="nil"/>
          <w:bottom w:val="nil"/>
          <w:insideH w:val="nil"/>
          <w:insideV w:val="nil"/>
        </w:tcBorders>
        <w:shd w:val="clear" w:color="auto" w:fill="FFE9B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66CC" w:themeColor="accent3"/>
        <w:left w:val="single" w:sz="8" w:space="0" w:color="0066CC" w:themeColor="accent3"/>
        <w:bottom w:val="single" w:sz="8" w:space="0" w:color="0066CC" w:themeColor="accent3"/>
        <w:right w:val="single" w:sz="8" w:space="0" w:color="0066CC" w:themeColor="accent3"/>
      </w:tblBorders>
    </w:tblPr>
    <w:tblStylePr w:type="firstRow">
      <w:rPr>
        <w:sz w:val="24"/>
        <w:szCs w:val="24"/>
      </w:rPr>
      <w:tblPr/>
      <w:tcPr>
        <w:tcBorders>
          <w:top w:val="nil"/>
          <w:left w:val="nil"/>
          <w:bottom w:val="single" w:sz="24" w:space="0" w:color="0066CC" w:themeColor="accent3"/>
          <w:right w:val="nil"/>
          <w:insideH w:val="nil"/>
          <w:insideV w:val="nil"/>
        </w:tcBorders>
        <w:shd w:val="clear" w:color="auto" w:fill="FFFFFF" w:themeFill="background1"/>
      </w:tcPr>
    </w:tblStylePr>
    <w:tblStylePr w:type="lastRow">
      <w:tblPr/>
      <w:tcPr>
        <w:tcBorders>
          <w:top w:val="single" w:sz="8" w:space="0" w:color="0066CC"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66CC" w:themeColor="accent3"/>
          <w:insideH w:val="nil"/>
          <w:insideV w:val="nil"/>
        </w:tcBorders>
        <w:shd w:val="clear" w:color="auto" w:fill="FFFFFF" w:themeFill="background1"/>
      </w:tcPr>
    </w:tblStylePr>
    <w:tblStylePr w:type="lastCol">
      <w:tblPr/>
      <w:tcPr>
        <w:tcBorders>
          <w:top w:val="nil"/>
          <w:left w:val="single" w:sz="8" w:space="0" w:color="0066CC"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D9FF" w:themeFill="accent3" w:themeFillTint="3F"/>
      </w:tcPr>
    </w:tblStylePr>
    <w:tblStylePr w:type="band1Horz">
      <w:tblPr/>
      <w:tcPr>
        <w:tcBorders>
          <w:top w:val="nil"/>
          <w:bottom w:val="nil"/>
          <w:insideH w:val="nil"/>
          <w:insideV w:val="nil"/>
        </w:tcBorders>
        <w:shd w:val="clear" w:color="auto" w:fill="B3D9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20033" w:themeColor="accent4"/>
        <w:left w:val="single" w:sz="8" w:space="0" w:color="E20033" w:themeColor="accent4"/>
        <w:bottom w:val="single" w:sz="8" w:space="0" w:color="E20033" w:themeColor="accent4"/>
        <w:right w:val="single" w:sz="8" w:space="0" w:color="E20033" w:themeColor="accent4"/>
      </w:tblBorders>
    </w:tblPr>
    <w:tblStylePr w:type="firstRow">
      <w:rPr>
        <w:sz w:val="24"/>
        <w:szCs w:val="24"/>
      </w:rPr>
      <w:tblPr/>
      <w:tcPr>
        <w:tcBorders>
          <w:top w:val="nil"/>
          <w:left w:val="nil"/>
          <w:bottom w:val="single" w:sz="24" w:space="0" w:color="E20033" w:themeColor="accent4"/>
          <w:right w:val="nil"/>
          <w:insideH w:val="nil"/>
          <w:insideV w:val="nil"/>
        </w:tcBorders>
        <w:shd w:val="clear" w:color="auto" w:fill="FFFFFF" w:themeFill="background1"/>
      </w:tcPr>
    </w:tblStylePr>
    <w:tblStylePr w:type="lastRow">
      <w:tblPr/>
      <w:tcPr>
        <w:tcBorders>
          <w:top w:val="single" w:sz="8" w:space="0" w:color="E20033"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20033" w:themeColor="accent4"/>
          <w:insideH w:val="nil"/>
          <w:insideV w:val="nil"/>
        </w:tcBorders>
        <w:shd w:val="clear" w:color="auto" w:fill="FFFFFF" w:themeFill="background1"/>
      </w:tcPr>
    </w:tblStylePr>
    <w:tblStylePr w:type="lastCol">
      <w:tblPr/>
      <w:tcPr>
        <w:tcBorders>
          <w:top w:val="nil"/>
          <w:left w:val="single" w:sz="8" w:space="0" w:color="E20033"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B8C8" w:themeFill="accent4" w:themeFillTint="3F"/>
      </w:tcPr>
    </w:tblStylePr>
    <w:tblStylePr w:type="band1Horz">
      <w:tblPr/>
      <w:tcPr>
        <w:tcBorders>
          <w:top w:val="nil"/>
          <w:bottom w:val="nil"/>
          <w:insideH w:val="nil"/>
          <w:insideV w:val="nil"/>
        </w:tcBorders>
        <w:shd w:val="clear" w:color="auto" w:fill="FFB8C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9900" w:themeColor="accent5"/>
        <w:left w:val="single" w:sz="8" w:space="0" w:color="FF9900" w:themeColor="accent5"/>
        <w:bottom w:val="single" w:sz="8" w:space="0" w:color="FF9900" w:themeColor="accent5"/>
        <w:right w:val="single" w:sz="8" w:space="0" w:color="FF9900" w:themeColor="accent5"/>
      </w:tblBorders>
    </w:tblPr>
    <w:tblStylePr w:type="firstRow">
      <w:rPr>
        <w:sz w:val="24"/>
        <w:szCs w:val="24"/>
      </w:rPr>
      <w:tblPr/>
      <w:tcPr>
        <w:tcBorders>
          <w:top w:val="nil"/>
          <w:left w:val="nil"/>
          <w:bottom w:val="single" w:sz="24" w:space="0" w:color="FF9900" w:themeColor="accent5"/>
          <w:right w:val="nil"/>
          <w:insideH w:val="nil"/>
          <w:insideV w:val="nil"/>
        </w:tcBorders>
        <w:shd w:val="clear" w:color="auto" w:fill="FFFFFF" w:themeFill="background1"/>
      </w:tcPr>
    </w:tblStylePr>
    <w:tblStylePr w:type="lastRow">
      <w:tblPr/>
      <w:tcPr>
        <w:tcBorders>
          <w:top w:val="single" w:sz="8" w:space="0" w:color="FF9900"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9900" w:themeColor="accent5"/>
          <w:insideH w:val="nil"/>
          <w:insideV w:val="nil"/>
        </w:tcBorders>
        <w:shd w:val="clear" w:color="auto" w:fill="FFFFFF" w:themeFill="background1"/>
      </w:tcPr>
    </w:tblStylePr>
    <w:tblStylePr w:type="lastCol">
      <w:tblPr/>
      <w:tcPr>
        <w:tcBorders>
          <w:top w:val="nil"/>
          <w:left w:val="single" w:sz="8" w:space="0" w:color="FF9900"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5C0" w:themeFill="accent5" w:themeFillTint="3F"/>
      </w:tcPr>
    </w:tblStylePr>
    <w:tblStylePr w:type="band1Horz">
      <w:tblPr/>
      <w:tcPr>
        <w:tcBorders>
          <w:top w:val="nil"/>
          <w:bottom w:val="nil"/>
          <w:insideH w:val="nil"/>
          <w:insideV w:val="nil"/>
        </w:tcBorders>
        <w:shd w:val="clear" w:color="auto" w:fill="FFE5C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F5E0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C00" w:themeColor="accent6"/>
        <w:left w:val="single" w:sz="8" w:space="0" w:color="FFCC00" w:themeColor="accent6"/>
        <w:bottom w:val="single" w:sz="8" w:space="0" w:color="FFCC00" w:themeColor="accent6"/>
        <w:right w:val="single" w:sz="8" w:space="0" w:color="FFCC00" w:themeColor="accent6"/>
      </w:tblBorders>
    </w:tblPr>
    <w:tblStylePr w:type="firstRow">
      <w:rPr>
        <w:sz w:val="24"/>
        <w:szCs w:val="24"/>
      </w:rPr>
      <w:tblPr/>
      <w:tcPr>
        <w:tcBorders>
          <w:top w:val="nil"/>
          <w:left w:val="nil"/>
          <w:bottom w:val="single" w:sz="24" w:space="0" w:color="FFCC00" w:themeColor="accent6"/>
          <w:right w:val="nil"/>
          <w:insideH w:val="nil"/>
          <w:insideV w:val="nil"/>
        </w:tcBorders>
        <w:shd w:val="clear" w:color="auto" w:fill="FFFFFF" w:themeFill="background1"/>
      </w:tcPr>
    </w:tblStylePr>
    <w:tblStylePr w:type="lastRow">
      <w:tblPr/>
      <w:tcPr>
        <w:tcBorders>
          <w:top w:val="single" w:sz="8" w:space="0" w:color="FFCC00"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C00" w:themeColor="accent6"/>
          <w:insideH w:val="nil"/>
          <w:insideV w:val="nil"/>
        </w:tcBorders>
        <w:shd w:val="clear" w:color="auto" w:fill="FFFFFF" w:themeFill="background1"/>
      </w:tcPr>
    </w:tblStylePr>
    <w:tblStylePr w:type="lastCol">
      <w:tblPr/>
      <w:tcPr>
        <w:tcBorders>
          <w:top w:val="nil"/>
          <w:left w:val="single" w:sz="8" w:space="0" w:color="FFCC00"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F2C0" w:themeFill="accent6" w:themeFillTint="3F"/>
      </w:tcPr>
    </w:tblStylePr>
    <w:tblStylePr w:type="band1Horz">
      <w:tblPr/>
      <w:tcPr>
        <w:tcBorders>
          <w:top w:val="nil"/>
          <w:bottom w:val="nil"/>
          <w:insideH w:val="nil"/>
          <w:insideV w:val="nil"/>
        </w:tcBorders>
        <w:shd w:val="clear" w:color="auto" w:fill="FFF2C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4F5E0E"/>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F5E0E"/>
    <w:pPr>
      <w:spacing w:after="0" w:line="240" w:lineRule="auto"/>
    </w:pPr>
    <w:tblPr>
      <w:tblStyleRowBandSize w:val="1"/>
      <w:tblStyleColBandSize w:val="1"/>
      <w:tbl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single" w:sz="8" w:space="0" w:color="2CBBFF" w:themeColor="accent1" w:themeTint="BF"/>
      </w:tblBorders>
    </w:tblPr>
    <w:tblStylePr w:type="firstRow">
      <w:pPr>
        <w:spacing w:before="0" w:after="0" w:line="240" w:lineRule="auto"/>
      </w:pPr>
      <w:rPr>
        <w:b/>
        <w:bCs/>
        <w:color w:val="FFFFFF" w:themeColor="background1"/>
      </w:rPr>
      <w:tblPr/>
      <w:tcPr>
        <w:tcBorders>
          <w:top w:val="single" w:sz="8"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shd w:val="clear" w:color="auto" w:fill="009CE5" w:themeFill="accent1"/>
      </w:tcPr>
    </w:tblStylePr>
    <w:tblStylePr w:type="lastRow">
      <w:pPr>
        <w:spacing w:before="0" w:after="0" w:line="240" w:lineRule="auto"/>
      </w:pPr>
      <w:rPr>
        <w:b/>
        <w:bCs/>
      </w:rPr>
      <w:tblPr/>
      <w:tcPr>
        <w:tcBorders>
          <w:top w:val="double" w:sz="6" w:space="0" w:color="2CBBFF" w:themeColor="accent1" w:themeTint="BF"/>
          <w:left w:val="single" w:sz="8" w:space="0" w:color="2CBBFF" w:themeColor="accent1" w:themeTint="BF"/>
          <w:bottom w:val="single" w:sz="8" w:space="0" w:color="2CBBFF" w:themeColor="accent1" w:themeTint="BF"/>
          <w:right w:val="single" w:sz="8" w:space="0" w:color="2CBBF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9E8FF" w:themeFill="accent1" w:themeFillTint="3F"/>
      </w:tcPr>
    </w:tblStylePr>
    <w:tblStylePr w:type="band1Horz">
      <w:tblPr/>
      <w:tcPr>
        <w:tcBorders>
          <w:insideH w:val="nil"/>
          <w:insideV w:val="nil"/>
        </w:tcBorders>
        <w:shd w:val="clear" w:color="auto" w:fill="B9E8FF"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F5E0E"/>
    <w:pPr>
      <w:spacing w:after="0" w:line="240" w:lineRule="auto"/>
    </w:pPr>
    <w:tblPr>
      <w:tblStyleRowBandSize w:val="1"/>
      <w:tblStyleColBandSize w:val="1"/>
      <w:tbl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single" w:sz="8" w:space="0" w:color="FFBE16" w:themeColor="accent2" w:themeTint="BF"/>
      </w:tblBorders>
    </w:tblPr>
    <w:tblStylePr w:type="firstRow">
      <w:pPr>
        <w:spacing w:before="0" w:after="0" w:line="240" w:lineRule="auto"/>
      </w:pPr>
      <w:rPr>
        <w:b/>
        <w:bCs/>
        <w:color w:val="FFFFFF" w:themeColor="background1"/>
      </w:rPr>
      <w:tblPr/>
      <w:tcPr>
        <w:tcBorders>
          <w:top w:val="single" w:sz="8"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shd w:val="clear" w:color="auto" w:fill="C79000" w:themeFill="accent2"/>
      </w:tcPr>
    </w:tblStylePr>
    <w:tblStylePr w:type="lastRow">
      <w:pPr>
        <w:spacing w:before="0" w:after="0" w:line="240" w:lineRule="auto"/>
      </w:pPr>
      <w:rPr>
        <w:b/>
        <w:bCs/>
      </w:rPr>
      <w:tblPr/>
      <w:tcPr>
        <w:tcBorders>
          <w:top w:val="double" w:sz="6" w:space="0" w:color="FFBE16" w:themeColor="accent2" w:themeTint="BF"/>
          <w:left w:val="single" w:sz="8" w:space="0" w:color="FFBE16" w:themeColor="accent2" w:themeTint="BF"/>
          <w:bottom w:val="single" w:sz="8" w:space="0" w:color="FFBE16" w:themeColor="accent2" w:themeTint="BF"/>
          <w:right w:val="single" w:sz="8" w:space="0" w:color="FFBE16"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E9B2" w:themeFill="accent2" w:themeFillTint="3F"/>
      </w:tcPr>
    </w:tblStylePr>
    <w:tblStylePr w:type="band1Horz">
      <w:tblPr/>
      <w:tcPr>
        <w:tcBorders>
          <w:insideH w:val="nil"/>
          <w:insideV w:val="nil"/>
        </w:tcBorders>
        <w:shd w:val="clear" w:color="auto" w:fill="FFE9B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F5E0E"/>
    <w:pPr>
      <w:spacing w:after="0" w:line="240" w:lineRule="auto"/>
    </w:pPr>
    <w:tblPr>
      <w:tblStyleRowBandSize w:val="1"/>
      <w:tblStyleColBandSize w:val="1"/>
      <w:tbl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single" w:sz="8" w:space="0" w:color="198BFF" w:themeColor="accent3" w:themeTint="BF"/>
      </w:tblBorders>
    </w:tblPr>
    <w:tblStylePr w:type="firstRow">
      <w:pPr>
        <w:spacing w:before="0" w:after="0" w:line="240" w:lineRule="auto"/>
      </w:pPr>
      <w:rPr>
        <w:b/>
        <w:bCs/>
        <w:color w:val="FFFFFF" w:themeColor="background1"/>
      </w:rPr>
      <w:tblPr/>
      <w:tcPr>
        <w:tcBorders>
          <w:top w:val="single" w:sz="8"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shd w:val="clear" w:color="auto" w:fill="0066CC" w:themeFill="accent3"/>
      </w:tcPr>
    </w:tblStylePr>
    <w:tblStylePr w:type="lastRow">
      <w:pPr>
        <w:spacing w:before="0" w:after="0" w:line="240" w:lineRule="auto"/>
      </w:pPr>
      <w:rPr>
        <w:b/>
        <w:bCs/>
      </w:rPr>
      <w:tblPr/>
      <w:tcPr>
        <w:tcBorders>
          <w:top w:val="double" w:sz="6" w:space="0" w:color="198BFF" w:themeColor="accent3" w:themeTint="BF"/>
          <w:left w:val="single" w:sz="8" w:space="0" w:color="198BFF" w:themeColor="accent3" w:themeTint="BF"/>
          <w:bottom w:val="single" w:sz="8" w:space="0" w:color="198BFF" w:themeColor="accent3" w:themeTint="BF"/>
          <w:right w:val="single" w:sz="8" w:space="0" w:color="198BFF"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D9FF" w:themeFill="accent3" w:themeFillTint="3F"/>
      </w:tcPr>
    </w:tblStylePr>
    <w:tblStylePr w:type="band1Horz">
      <w:tblPr/>
      <w:tcPr>
        <w:tcBorders>
          <w:insideH w:val="nil"/>
          <w:insideV w:val="nil"/>
        </w:tcBorders>
        <w:shd w:val="clear" w:color="auto" w:fill="B3D9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F5E0E"/>
    <w:pPr>
      <w:spacing w:after="0" w:line="240" w:lineRule="auto"/>
    </w:pPr>
    <w:tblPr>
      <w:tblStyleRowBandSize w:val="1"/>
      <w:tblStyleColBandSize w:val="1"/>
      <w:tbl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single" w:sz="8" w:space="0" w:color="FF2A59" w:themeColor="accent4" w:themeTint="BF"/>
      </w:tblBorders>
    </w:tblPr>
    <w:tblStylePr w:type="firstRow">
      <w:pPr>
        <w:spacing w:before="0" w:after="0" w:line="240" w:lineRule="auto"/>
      </w:pPr>
      <w:rPr>
        <w:b/>
        <w:bCs/>
        <w:color w:val="FFFFFF" w:themeColor="background1"/>
      </w:rPr>
      <w:tblPr/>
      <w:tcPr>
        <w:tcBorders>
          <w:top w:val="single" w:sz="8"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shd w:val="clear" w:color="auto" w:fill="E20033" w:themeFill="accent4"/>
      </w:tcPr>
    </w:tblStylePr>
    <w:tblStylePr w:type="lastRow">
      <w:pPr>
        <w:spacing w:before="0" w:after="0" w:line="240" w:lineRule="auto"/>
      </w:pPr>
      <w:rPr>
        <w:b/>
        <w:bCs/>
      </w:rPr>
      <w:tblPr/>
      <w:tcPr>
        <w:tcBorders>
          <w:top w:val="double" w:sz="6" w:space="0" w:color="FF2A59" w:themeColor="accent4" w:themeTint="BF"/>
          <w:left w:val="single" w:sz="8" w:space="0" w:color="FF2A59" w:themeColor="accent4" w:themeTint="BF"/>
          <w:bottom w:val="single" w:sz="8" w:space="0" w:color="FF2A59" w:themeColor="accent4" w:themeTint="BF"/>
          <w:right w:val="single" w:sz="8" w:space="0" w:color="FF2A5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B8C8" w:themeFill="accent4" w:themeFillTint="3F"/>
      </w:tcPr>
    </w:tblStylePr>
    <w:tblStylePr w:type="band1Horz">
      <w:tblPr/>
      <w:tcPr>
        <w:tcBorders>
          <w:insideH w:val="nil"/>
          <w:insideV w:val="nil"/>
        </w:tcBorders>
        <w:shd w:val="clear" w:color="auto" w:fill="FFB8C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F5E0E"/>
    <w:pPr>
      <w:spacing w:after="0" w:line="240" w:lineRule="auto"/>
    </w:pPr>
    <w:tblPr>
      <w:tblStyleRowBandSize w:val="1"/>
      <w:tblStyleColBandSize w:val="1"/>
      <w:tbl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single" w:sz="8" w:space="0" w:color="FFB240" w:themeColor="accent5" w:themeTint="BF"/>
      </w:tblBorders>
    </w:tblPr>
    <w:tblStylePr w:type="firstRow">
      <w:pPr>
        <w:spacing w:before="0" w:after="0" w:line="240" w:lineRule="auto"/>
      </w:pPr>
      <w:rPr>
        <w:b/>
        <w:bCs/>
        <w:color w:val="FFFFFF" w:themeColor="background1"/>
      </w:rPr>
      <w:tblPr/>
      <w:tcPr>
        <w:tcBorders>
          <w:top w:val="single" w:sz="8"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shd w:val="clear" w:color="auto" w:fill="FF9900" w:themeFill="accent5"/>
      </w:tcPr>
    </w:tblStylePr>
    <w:tblStylePr w:type="lastRow">
      <w:pPr>
        <w:spacing w:before="0" w:after="0" w:line="240" w:lineRule="auto"/>
      </w:pPr>
      <w:rPr>
        <w:b/>
        <w:bCs/>
      </w:rPr>
      <w:tblPr/>
      <w:tcPr>
        <w:tcBorders>
          <w:top w:val="double" w:sz="6" w:space="0" w:color="FFB240" w:themeColor="accent5" w:themeTint="BF"/>
          <w:left w:val="single" w:sz="8" w:space="0" w:color="FFB240" w:themeColor="accent5" w:themeTint="BF"/>
          <w:bottom w:val="single" w:sz="8" w:space="0" w:color="FFB240" w:themeColor="accent5" w:themeTint="BF"/>
          <w:right w:val="single" w:sz="8" w:space="0" w:color="FFB240" w:themeColor="accent5" w:themeTint="BF"/>
          <w:insideH w:val="nil"/>
          <w:insideV w:val="nil"/>
        </w:tcBorders>
      </w:tcPr>
    </w:tblStylePr>
    <w:tblStylePr w:type="firstCol">
      <w:rPr>
        <w:b/>
        <w:bCs/>
      </w:rPr>
    </w:tblStylePr>
    <w:tblStylePr w:type="lastCol">
      <w:rPr>
        <w:b/>
        <w:bCs/>
      </w:rPr>
    </w:tblStylePr>
    <w:tblStylePr w:type="band1Vert">
      <w:tblPr/>
      <w:tcPr>
        <w:shd w:val="clear" w:color="auto" w:fill="FFE5C0" w:themeFill="accent5" w:themeFillTint="3F"/>
      </w:tcPr>
    </w:tblStylePr>
    <w:tblStylePr w:type="band1Horz">
      <w:tblPr/>
      <w:tcPr>
        <w:tcBorders>
          <w:insideH w:val="nil"/>
          <w:insideV w:val="nil"/>
        </w:tcBorders>
        <w:shd w:val="clear" w:color="auto" w:fill="FFE5C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F5E0E"/>
    <w:pPr>
      <w:spacing w:after="0" w:line="240" w:lineRule="auto"/>
    </w:pPr>
    <w:tblPr>
      <w:tblStyleRowBandSize w:val="1"/>
      <w:tblStyleColBandSize w:val="1"/>
      <w:tbl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single" w:sz="8" w:space="0" w:color="FFD840" w:themeColor="accent6" w:themeTint="BF"/>
      </w:tblBorders>
    </w:tblPr>
    <w:tblStylePr w:type="firstRow">
      <w:pPr>
        <w:spacing w:before="0" w:after="0" w:line="240" w:lineRule="auto"/>
      </w:pPr>
      <w:rPr>
        <w:b/>
        <w:bCs/>
        <w:color w:val="FFFFFF" w:themeColor="background1"/>
      </w:rPr>
      <w:tblPr/>
      <w:tcPr>
        <w:tcBorders>
          <w:top w:val="single" w:sz="8"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shd w:val="clear" w:color="auto" w:fill="FFCC00" w:themeFill="accent6"/>
      </w:tcPr>
    </w:tblStylePr>
    <w:tblStylePr w:type="lastRow">
      <w:pPr>
        <w:spacing w:before="0" w:after="0" w:line="240" w:lineRule="auto"/>
      </w:pPr>
      <w:rPr>
        <w:b/>
        <w:bCs/>
      </w:rPr>
      <w:tblPr/>
      <w:tcPr>
        <w:tcBorders>
          <w:top w:val="double" w:sz="6" w:space="0" w:color="FFD840" w:themeColor="accent6" w:themeTint="BF"/>
          <w:left w:val="single" w:sz="8" w:space="0" w:color="FFD840" w:themeColor="accent6" w:themeTint="BF"/>
          <w:bottom w:val="single" w:sz="8" w:space="0" w:color="FFD840" w:themeColor="accent6" w:themeTint="BF"/>
          <w:right w:val="single" w:sz="8" w:space="0" w:color="FFD840" w:themeColor="accent6" w:themeTint="BF"/>
          <w:insideH w:val="nil"/>
          <w:insideV w:val="nil"/>
        </w:tcBorders>
      </w:tcPr>
    </w:tblStylePr>
    <w:tblStylePr w:type="firstCol">
      <w:rPr>
        <w:b/>
        <w:bCs/>
      </w:rPr>
    </w:tblStylePr>
    <w:tblStylePr w:type="lastCol">
      <w:rPr>
        <w:b/>
        <w:bCs/>
      </w:rPr>
    </w:tblStylePr>
    <w:tblStylePr w:type="band1Vert">
      <w:tblPr/>
      <w:tcPr>
        <w:shd w:val="clear" w:color="auto" w:fill="FFF2C0" w:themeFill="accent6" w:themeFillTint="3F"/>
      </w:tcPr>
    </w:tblStylePr>
    <w:tblStylePr w:type="band1Horz">
      <w:tblPr/>
      <w:tcPr>
        <w:tcBorders>
          <w:insideH w:val="nil"/>
          <w:insideV w:val="nil"/>
        </w:tcBorders>
        <w:shd w:val="clear" w:color="auto" w:fill="FFF2C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9CE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9CE5" w:themeFill="accent1"/>
      </w:tcPr>
    </w:tblStylePr>
    <w:tblStylePr w:type="lastCol">
      <w:rPr>
        <w:b/>
        <w:bCs/>
        <w:color w:val="FFFFFF" w:themeColor="background1"/>
      </w:rPr>
      <w:tblPr/>
      <w:tcPr>
        <w:tcBorders>
          <w:left w:val="nil"/>
          <w:right w:val="nil"/>
          <w:insideH w:val="nil"/>
          <w:insideV w:val="nil"/>
        </w:tcBorders>
        <w:shd w:val="clear" w:color="auto" w:fill="009CE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79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79000" w:themeFill="accent2"/>
      </w:tcPr>
    </w:tblStylePr>
    <w:tblStylePr w:type="lastCol">
      <w:rPr>
        <w:b/>
        <w:bCs/>
        <w:color w:val="FFFFFF" w:themeColor="background1"/>
      </w:rPr>
      <w:tblPr/>
      <w:tcPr>
        <w:tcBorders>
          <w:left w:val="nil"/>
          <w:right w:val="nil"/>
          <w:insideH w:val="nil"/>
          <w:insideV w:val="nil"/>
        </w:tcBorders>
        <w:shd w:val="clear" w:color="auto" w:fill="C79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66CC"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66CC" w:themeFill="accent3"/>
      </w:tcPr>
    </w:tblStylePr>
    <w:tblStylePr w:type="lastCol">
      <w:rPr>
        <w:b/>
        <w:bCs/>
        <w:color w:val="FFFFFF" w:themeColor="background1"/>
      </w:rPr>
      <w:tblPr/>
      <w:tcPr>
        <w:tcBorders>
          <w:left w:val="nil"/>
          <w:right w:val="nil"/>
          <w:insideH w:val="nil"/>
          <w:insideV w:val="nil"/>
        </w:tcBorders>
        <w:shd w:val="clear" w:color="auto" w:fill="0066CC"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20033"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20033" w:themeFill="accent4"/>
      </w:tcPr>
    </w:tblStylePr>
    <w:tblStylePr w:type="lastCol">
      <w:rPr>
        <w:b/>
        <w:bCs/>
        <w:color w:val="FFFFFF" w:themeColor="background1"/>
      </w:rPr>
      <w:tblPr/>
      <w:tcPr>
        <w:tcBorders>
          <w:left w:val="nil"/>
          <w:right w:val="nil"/>
          <w:insideH w:val="nil"/>
          <w:insideV w:val="nil"/>
        </w:tcBorders>
        <w:shd w:val="clear" w:color="auto" w:fill="E20033"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9900"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9900" w:themeFill="accent5"/>
      </w:tcPr>
    </w:tblStylePr>
    <w:tblStylePr w:type="lastCol">
      <w:rPr>
        <w:b/>
        <w:bCs/>
        <w:color w:val="FFFFFF" w:themeColor="background1"/>
      </w:rPr>
      <w:tblPr/>
      <w:tcPr>
        <w:tcBorders>
          <w:left w:val="nil"/>
          <w:right w:val="nil"/>
          <w:insideH w:val="nil"/>
          <w:insideV w:val="nil"/>
        </w:tcBorders>
        <w:shd w:val="clear" w:color="auto" w:fill="FF9900"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F5E0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C00"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C00" w:themeFill="accent6"/>
      </w:tcPr>
    </w:tblStylePr>
    <w:tblStylePr w:type="lastCol">
      <w:rPr>
        <w:b/>
        <w:bCs/>
        <w:color w:val="FFFFFF" w:themeColor="background1"/>
      </w:rPr>
      <w:tblPr/>
      <w:tcPr>
        <w:tcBorders>
          <w:left w:val="nil"/>
          <w:right w:val="nil"/>
          <w:insideH w:val="nil"/>
          <w:insideV w:val="nil"/>
        </w:tcBorders>
        <w:shd w:val="clear" w:color="auto" w:fill="FFCC00"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rsid w:val="004F5E0E"/>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4F5E0E"/>
    <w:rPr>
      <w:rFonts w:asciiTheme="majorHAnsi" w:eastAsiaTheme="majorEastAsia" w:hAnsiTheme="majorHAnsi" w:cstheme="majorBidi"/>
      <w:sz w:val="24"/>
      <w:szCs w:val="24"/>
      <w:shd w:val="pct20" w:color="auto" w:fill="auto"/>
      <w:lang w:val="en-US"/>
    </w:rPr>
  </w:style>
  <w:style w:type="paragraph" w:styleId="NormalWeb">
    <w:name w:val="Normal (Web)"/>
    <w:basedOn w:val="Normal"/>
    <w:uiPriority w:val="99"/>
    <w:semiHidden/>
    <w:rsid w:val="004F5E0E"/>
    <w:rPr>
      <w:rFonts w:ascii="Times New Roman" w:hAnsi="Times New Roman"/>
      <w:sz w:val="24"/>
      <w:szCs w:val="24"/>
    </w:rPr>
  </w:style>
  <w:style w:type="paragraph" w:styleId="NormalIndent">
    <w:name w:val="Normal Indent"/>
    <w:basedOn w:val="Normal"/>
    <w:uiPriority w:val="99"/>
    <w:semiHidden/>
    <w:rsid w:val="00F86840"/>
    <w:pPr>
      <w:ind w:left="720"/>
    </w:pPr>
  </w:style>
  <w:style w:type="paragraph" w:styleId="NoteHeading">
    <w:name w:val="Note Heading"/>
    <w:basedOn w:val="Normal"/>
    <w:next w:val="Normal"/>
    <w:link w:val="NoteHeadingChar"/>
    <w:uiPriority w:val="99"/>
    <w:semiHidden/>
    <w:rsid w:val="004F5E0E"/>
    <w:pPr>
      <w:spacing w:line="240" w:lineRule="auto"/>
    </w:pPr>
  </w:style>
  <w:style w:type="character" w:customStyle="1" w:styleId="NoteHeadingChar">
    <w:name w:val="Note Heading Char"/>
    <w:basedOn w:val="DefaultParagraphFont"/>
    <w:link w:val="NoteHeading"/>
    <w:uiPriority w:val="99"/>
    <w:semiHidden/>
    <w:rsid w:val="004F5E0E"/>
    <w:rPr>
      <w:rFonts w:ascii="Arial" w:eastAsia="Arial" w:hAnsi="Arial" w:cs="Times New Roman"/>
      <w:sz w:val="15"/>
      <w:szCs w:val="22"/>
      <w:lang w:val="en-US"/>
    </w:rPr>
  </w:style>
  <w:style w:type="character" w:styleId="PageNumber">
    <w:name w:val="page number"/>
    <w:basedOn w:val="DefaultParagraphFont"/>
    <w:uiPriority w:val="99"/>
    <w:semiHidden/>
    <w:rsid w:val="004F5E0E"/>
  </w:style>
  <w:style w:type="character" w:styleId="PlaceholderText">
    <w:name w:val="Placeholder Text"/>
    <w:basedOn w:val="DefaultParagraphFont"/>
    <w:uiPriority w:val="99"/>
    <w:semiHidden/>
    <w:rsid w:val="004F5E0E"/>
    <w:rPr>
      <w:color w:val="808080"/>
    </w:rPr>
  </w:style>
  <w:style w:type="paragraph" w:styleId="PlainText">
    <w:name w:val="Plain Text"/>
    <w:basedOn w:val="Normal"/>
    <w:link w:val="PlainTextChar"/>
    <w:uiPriority w:val="99"/>
    <w:semiHidden/>
    <w:rsid w:val="004F5E0E"/>
    <w:pPr>
      <w:spacing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4F5E0E"/>
    <w:rPr>
      <w:rFonts w:ascii="Consolas" w:eastAsia="Arial" w:hAnsi="Consolas" w:cs="Consolas"/>
      <w:sz w:val="21"/>
      <w:szCs w:val="21"/>
      <w:lang w:val="en-US"/>
    </w:rPr>
  </w:style>
  <w:style w:type="paragraph" w:styleId="Salutation">
    <w:name w:val="Salutation"/>
    <w:basedOn w:val="Normal"/>
    <w:next w:val="Normal"/>
    <w:link w:val="SalutationChar"/>
    <w:uiPriority w:val="99"/>
    <w:semiHidden/>
    <w:rsid w:val="004F5E0E"/>
  </w:style>
  <w:style w:type="character" w:customStyle="1" w:styleId="SalutationChar">
    <w:name w:val="Salutation Char"/>
    <w:basedOn w:val="DefaultParagraphFont"/>
    <w:link w:val="Salutation"/>
    <w:uiPriority w:val="99"/>
    <w:semiHidden/>
    <w:rsid w:val="004F5E0E"/>
    <w:rPr>
      <w:rFonts w:ascii="Arial" w:eastAsia="Arial" w:hAnsi="Arial" w:cs="Times New Roman"/>
      <w:sz w:val="15"/>
      <w:szCs w:val="22"/>
      <w:lang w:val="en-US"/>
    </w:rPr>
  </w:style>
  <w:style w:type="paragraph" w:styleId="Signature">
    <w:name w:val="Signature"/>
    <w:basedOn w:val="Normal"/>
    <w:link w:val="SignatureChar"/>
    <w:uiPriority w:val="99"/>
    <w:semiHidden/>
    <w:rsid w:val="004F5E0E"/>
    <w:pPr>
      <w:spacing w:line="240" w:lineRule="auto"/>
      <w:ind w:left="4252"/>
    </w:pPr>
  </w:style>
  <w:style w:type="character" w:customStyle="1" w:styleId="SignatureChar">
    <w:name w:val="Signature Char"/>
    <w:basedOn w:val="DefaultParagraphFont"/>
    <w:link w:val="Signature"/>
    <w:uiPriority w:val="99"/>
    <w:semiHidden/>
    <w:rsid w:val="004F5E0E"/>
    <w:rPr>
      <w:rFonts w:ascii="Arial" w:eastAsia="Arial" w:hAnsi="Arial" w:cs="Times New Roman"/>
      <w:sz w:val="15"/>
      <w:szCs w:val="22"/>
      <w:lang w:val="en-US"/>
    </w:rPr>
  </w:style>
  <w:style w:type="table" w:styleId="Table3Deffects1">
    <w:name w:val="Table 3D effects 1"/>
    <w:basedOn w:val="TableNormal"/>
    <w:uiPriority w:val="99"/>
    <w:semiHidden/>
    <w:unhideWhenUsed/>
    <w:rsid w:val="004F5E0E"/>
    <w:pPr>
      <w:spacing w:before="120" w:after="0"/>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4F5E0E"/>
    <w:pPr>
      <w:spacing w:before="120" w:after="0"/>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4F5E0E"/>
    <w:pPr>
      <w:spacing w:before="120" w:after="0"/>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4F5E0E"/>
    <w:pPr>
      <w:spacing w:before="120" w:after="0"/>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4F5E0E"/>
    <w:pPr>
      <w:spacing w:before="120" w:after="0"/>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4F5E0E"/>
    <w:pPr>
      <w:spacing w:before="120" w:after="0"/>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4F5E0E"/>
    <w:pPr>
      <w:spacing w:before="120" w:after="0"/>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4F5E0E"/>
    <w:pPr>
      <w:spacing w:before="120" w:after="0"/>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4F5E0E"/>
    <w:pPr>
      <w:spacing w:before="120" w:after="0"/>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4F5E0E"/>
    <w:pPr>
      <w:spacing w:before="120" w:after="0"/>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4F5E0E"/>
    <w:pPr>
      <w:spacing w:before="120" w:after="0"/>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4F5E0E"/>
    <w:pPr>
      <w:spacing w:before="120" w:after="0"/>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4F5E0E"/>
    <w:pPr>
      <w:spacing w:before="120" w:after="0"/>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4F5E0E"/>
    <w:pPr>
      <w:spacing w:before="120" w:after="0"/>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4F5E0E"/>
    <w:pPr>
      <w:spacing w:before="120" w:after="0"/>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4F5E0E"/>
    <w:pPr>
      <w:spacing w:before="120" w:after="0"/>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4F5E0E"/>
    <w:pPr>
      <w:spacing w:before="120" w:after="0"/>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4F5E0E"/>
    <w:pPr>
      <w:spacing w:before="120" w:after="0"/>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4F5E0E"/>
    <w:pPr>
      <w:spacing w:before="120" w:after="0"/>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4F5E0E"/>
    <w:pPr>
      <w:spacing w:before="120" w:after="0"/>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4F5E0E"/>
    <w:pPr>
      <w:spacing w:before="120" w:after="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4F5E0E"/>
    <w:pPr>
      <w:spacing w:before="120" w:after="0"/>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4F5E0E"/>
    <w:pPr>
      <w:spacing w:before="120" w:after="0"/>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4F5E0E"/>
    <w:pPr>
      <w:spacing w:before="120" w:after="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4F5E0E"/>
    <w:pPr>
      <w:spacing w:before="120" w:after="0"/>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4F5E0E"/>
    <w:pPr>
      <w:spacing w:before="120" w:after="0"/>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4F5E0E"/>
    <w:pPr>
      <w:ind w:left="180" w:hanging="180"/>
    </w:pPr>
  </w:style>
  <w:style w:type="paragraph" w:styleId="TableofFigures">
    <w:name w:val="table of figures"/>
    <w:basedOn w:val="Normal"/>
    <w:next w:val="Normal"/>
    <w:uiPriority w:val="99"/>
    <w:semiHidden/>
    <w:rsid w:val="004F5E0E"/>
  </w:style>
  <w:style w:type="table" w:styleId="TableProfessional">
    <w:name w:val="Table Professional"/>
    <w:basedOn w:val="TableNormal"/>
    <w:uiPriority w:val="99"/>
    <w:semiHidden/>
    <w:unhideWhenUsed/>
    <w:rsid w:val="004F5E0E"/>
    <w:pPr>
      <w:spacing w:before="120" w:after="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4F5E0E"/>
    <w:pPr>
      <w:spacing w:before="120" w:after="0"/>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4F5E0E"/>
    <w:pPr>
      <w:spacing w:before="120" w:after="0"/>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4F5E0E"/>
    <w:pPr>
      <w:spacing w:before="120" w:after="0"/>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4F5E0E"/>
    <w:pPr>
      <w:spacing w:before="120" w:after="0"/>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4F5E0E"/>
    <w:pPr>
      <w:spacing w:before="120" w:after="0"/>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4F5E0E"/>
    <w:pPr>
      <w:spacing w:before="12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4F5E0E"/>
    <w:pPr>
      <w:spacing w:before="120" w:after="0"/>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4F5E0E"/>
    <w:pPr>
      <w:spacing w:before="120" w:after="0"/>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4F5E0E"/>
    <w:pPr>
      <w:spacing w:before="120" w:after="0"/>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4F5E0E"/>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4F5E0E"/>
    <w:pPr>
      <w:spacing w:after="100"/>
    </w:pPr>
  </w:style>
  <w:style w:type="paragraph" w:styleId="TOC2">
    <w:name w:val="toc 2"/>
    <w:basedOn w:val="Normal"/>
    <w:next w:val="Normal"/>
    <w:autoRedefine/>
    <w:uiPriority w:val="39"/>
    <w:semiHidden/>
    <w:rsid w:val="004F5E0E"/>
    <w:pPr>
      <w:spacing w:after="100"/>
      <w:ind w:left="180"/>
    </w:pPr>
  </w:style>
  <w:style w:type="paragraph" w:styleId="TOC3">
    <w:name w:val="toc 3"/>
    <w:basedOn w:val="Normal"/>
    <w:next w:val="Normal"/>
    <w:autoRedefine/>
    <w:uiPriority w:val="39"/>
    <w:semiHidden/>
    <w:rsid w:val="004F5E0E"/>
    <w:pPr>
      <w:spacing w:after="100"/>
      <w:ind w:left="360"/>
    </w:pPr>
  </w:style>
  <w:style w:type="paragraph" w:styleId="TOC4">
    <w:name w:val="toc 4"/>
    <w:basedOn w:val="Normal"/>
    <w:next w:val="Normal"/>
    <w:autoRedefine/>
    <w:uiPriority w:val="39"/>
    <w:semiHidden/>
    <w:rsid w:val="004F5E0E"/>
    <w:pPr>
      <w:spacing w:after="100"/>
      <w:ind w:left="540"/>
    </w:pPr>
  </w:style>
  <w:style w:type="paragraph" w:styleId="TOC5">
    <w:name w:val="toc 5"/>
    <w:basedOn w:val="Normal"/>
    <w:next w:val="Normal"/>
    <w:autoRedefine/>
    <w:uiPriority w:val="39"/>
    <w:semiHidden/>
    <w:rsid w:val="004F5E0E"/>
    <w:pPr>
      <w:spacing w:after="100"/>
      <w:ind w:left="720"/>
    </w:pPr>
  </w:style>
  <w:style w:type="paragraph" w:styleId="TOC6">
    <w:name w:val="toc 6"/>
    <w:basedOn w:val="Normal"/>
    <w:next w:val="Normal"/>
    <w:autoRedefine/>
    <w:uiPriority w:val="39"/>
    <w:semiHidden/>
    <w:rsid w:val="004F5E0E"/>
    <w:pPr>
      <w:spacing w:after="100"/>
      <w:ind w:left="900"/>
    </w:pPr>
  </w:style>
  <w:style w:type="paragraph" w:styleId="TOC7">
    <w:name w:val="toc 7"/>
    <w:basedOn w:val="Normal"/>
    <w:next w:val="Normal"/>
    <w:autoRedefine/>
    <w:uiPriority w:val="39"/>
    <w:semiHidden/>
    <w:rsid w:val="004F5E0E"/>
    <w:pPr>
      <w:spacing w:after="100"/>
      <w:ind w:left="1080"/>
    </w:pPr>
  </w:style>
  <w:style w:type="paragraph" w:styleId="TOC8">
    <w:name w:val="toc 8"/>
    <w:basedOn w:val="Normal"/>
    <w:next w:val="Normal"/>
    <w:autoRedefine/>
    <w:uiPriority w:val="39"/>
    <w:semiHidden/>
    <w:rsid w:val="004F5E0E"/>
    <w:pPr>
      <w:spacing w:after="100"/>
      <w:ind w:left="1260"/>
    </w:pPr>
  </w:style>
  <w:style w:type="paragraph" w:styleId="TOC9">
    <w:name w:val="toc 9"/>
    <w:basedOn w:val="Normal"/>
    <w:next w:val="Normal"/>
    <w:autoRedefine/>
    <w:uiPriority w:val="39"/>
    <w:semiHidden/>
    <w:rsid w:val="004F5E0E"/>
    <w:pPr>
      <w:spacing w:after="100"/>
      <w:ind w:left="1440"/>
    </w:pPr>
  </w:style>
  <w:style w:type="paragraph" w:styleId="TOCHeading">
    <w:name w:val="TOC Heading"/>
    <w:basedOn w:val="Heading1"/>
    <w:next w:val="Normal"/>
    <w:uiPriority w:val="39"/>
    <w:semiHidden/>
    <w:qFormat/>
    <w:rsid w:val="004F5E0E"/>
    <w:pPr>
      <w:spacing w:after="0" w:line="276" w:lineRule="auto"/>
      <w:outlineLvl w:val="9"/>
    </w:pPr>
    <w:rPr>
      <w:b/>
      <w:color w:val="0074AB" w:themeColor="accent1" w:themeShade="BF"/>
      <w:sz w:val="28"/>
    </w:rPr>
  </w:style>
  <w:style w:type="paragraph" w:customStyle="1" w:styleId="Indent">
    <w:name w:val="Indent"/>
    <w:basedOn w:val="Normal"/>
    <w:semiHidden/>
    <w:rsid w:val="007F0250"/>
    <w:pPr>
      <w:spacing w:before="240"/>
      <w:ind w:left="360" w:hanging="360"/>
    </w:pPr>
    <w:rPr>
      <w:rFonts w:ascii="Tms Rmn" w:hAnsi="Tms Rmn"/>
      <w:sz w:val="20"/>
    </w:rPr>
  </w:style>
  <w:style w:type="paragraph" w:customStyle="1" w:styleId="Bold">
    <w:name w:val="Bold"/>
    <w:basedOn w:val="Normal"/>
    <w:link w:val="BoldChar"/>
    <w:uiPriority w:val="99"/>
    <w:semiHidden/>
    <w:rsid w:val="004F5E0E"/>
    <w:rPr>
      <w:b/>
    </w:rPr>
  </w:style>
  <w:style w:type="character" w:customStyle="1" w:styleId="BoldChar">
    <w:name w:val="Bold Char"/>
    <w:basedOn w:val="DefaultParagraphFont"/>
    <w:link w:val="Bold"/>
    <w:uiPriority w:val="99"/>
    <w:semiHidden/>
    <w:rsid w:val="008A160D"/>
    <w:rPr>
      <w:rFonts w:ascii="Arial" w:eastAsia="Arial" w:hAnsi="Arial" w:cs="Times New Roman"/>
      <w:b/>
      <w:sz w:val="15"/>
      <w:szCs w:val="22"/>
      <w:lang w:val="en-US"/>
    </w:rPr>
  </w:style>
  <w:style w:type="paragraph" w:customStyle="1" w:styleId="TableParagraph">
    <w:name w:val="Table Paragraph"/>
    <w:basedOn w:val="Normal"/>
    <w:uiPriority w:val="1"/>
    <w:qFormat/>
    <w:rsid w:val="00691F07"/>
    <w:pPr>
      <w:keepNext w:val="0"/>
      <w:keepLines w:val="0"/>
      <w:widowControl w:val="0"/>
      <w:spacing w:after="0" w:line="240" w:lineRule="auto"/>
    </w:pPr>
    <w:rPr>
      <w:rFonts w:asciiTheme="minorHAnsi" w:eastAsiaTheme="minorHAnsi" w:hAnsiTheme="minorHAnsi" w:cstheme="minorBidi"/>
      <w:sz w:val="22"/>
    </w:rPr>
  </w:style>
  <w:style w:type="paragraph" w:customStyle="1" w:styleId="Bluesub1">
    <w:name w:val="Blue sub 1"/>
    <w:basedOn w:val="Normal"/>
    <w:link w:val="Bluesub1Char"/>
    <w:rsid w:val="00691F07"/>
    <w:pPr>
      <w:keepNext w:val="0"/>
      <w:keepLines w:val="0"/>
      <w:spacing w:line="276" w:lineRule="auto"/>
    </w:pPr>
    <w:rPr>
      <w:rFonts w:eastAsiaTheme="minorHAnsi" w:cs="Arial"/>
      <w:b/>
      <w:bCs/>
      <w:color w:val="0069AA"/>
      <w:sz w:val="18"/>
      <w:szCs w:val="14"/>
    </w:rPr>
  </w:style>
  <w:style w:type="character" w:customStyle="1" w:styleId="Bluesub1Char">
    <w:name w:val="Blue sub 1 Char"/>
    <w:basedOn w:val="DefaultParagraphFont"/>
    <w:link w:val="Bluesub1"/>
    <w:rsid w:val="00691F07"/>
    <w:rPr>
      <w:rFonts w:ascii="Arial" w:hAnsi="Arial" w:cs="Arial"/>
      <w:b/>
      <w:bCs/>
      <w:color w:val="0069AA"/>
      <w:sz w:val="18"/>
      <w:szCs w:val="14"/>
      <w:lang w:val="en-US"/>
    </w:rPr>
  </w:style>
  <w:style w:type="paragraph" w:customStyle="1" w:styleId="Orangesub1">
    <w:name w:val="Orange sub 1"/>
    <w:basedOn w:val="Normal"/>
    <w:link w:val="Orangesub1Char"/>
    <w:rsid w:val="007017A1"/>
    <w:pPr>
      <w:keepNext w:val="0"/>
      <w:keepLines w:val="0"/>
      <w:spacing w:line="276" w:lineRule="auto"/>
    </w:pPr>
    <w:rPr>
      <w:rFonts w:eastAsiaTheme="minorHAnsi" w:cs="Arial"/>
      <w:b/>
      <w:bCs/>
      <w:color w:val="BF9800" w:themeColor="accent6" w:themeShade="BF"/>
      <w:sz w:val="18"/>
      <w:szCs w:val="14"/>
    </w:rPr>
  </w:style>
  <w:style w:type="character" w:customStyle="1" w:styleId="Orangesub1Char">
    <w:name w:val="Orange sub 1 Char"/>
    <w:basedOn w:val="DefaultParagraphFont"/>
    <w:link w:val="Orangesub1"/>
    <w:rsid w:val="007017A1"/>
    <w:rPr>
      <w:rFonts w:ascii="Arial" w:hAnsi="Arial" w:cs="Arial"/>
      <w:b/>
      <w:bCs/>
      <w:color w:val="BF9800" w:themeColor="accent6" w:themeShade="BF"/>
      <w:sz w:val="18"/>
      <w:szCs w:val="14"/>
      <w:lang w:val="en-US"/>
    </w:rPr>
  </w:style>
  <w:style w:type="paragraph" w:customStyle="1" w:styleId="BlueHeading">
    <w:name w:val="Blue Heading"/>
    <w:basedOn w:val="Normal"/>
    <w:link w:val="BlueHeadingChar"/>
    <w:rsid w:val="00A22AEA"/>
    <w:pPr>
      <w:spacing w:line="320" w:lineRule="exact"/>
    </w:pPr>
    <w:rPr>
      <w:color w:val="0069AA"/>
      <w:sz w:val="26"/>
      <w:szCs w:val="26"/>
    </w:rPr>
  </w:style>
  <w:style w:type="character" w:customStyle="1" w:styleId="BlueHeadingChar">
    <w:name w:val="Blue Heading Char"/>
    <w:basedOn w:val="DefaultParagraphFont"/>
    <w:link w:val="BlueHeading"/>
    <w:rsid w:val="00A22AEA"/>
    <w:rPr>
      <w:rFonts w:ascii="Arial" w:eastAsia="Arial" w:hAnsi="Arial" w:cs="Times New Roman"/>
      <w:color w:val="0069AA"/>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048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_Tokio Marine Colours">
      <a:dk1>
        <a:sysClr val="windowText" lastClr="000000"/>
      </a:dk1>
      <a:lt1>
        <a:sysClr val="window" lastClr="FFFFFF"/>
      </a:lt1>
      <a:dk2>
        <a:srgbClr val="009CE5"/>
      </a:dk2>
      <a:lt2>
        <a:srgbClr val="FFFFFF"/>
      </a:lt2>
      <a:accent1>
        <a:srgbClr val="009CE5"/>
      </a:accent1>
      <a:accent2>
        <a:srgbClr val="C79000"/>
      </a:accent2>
      <a:accent3>
        <a:srgbClr val="0066CC"/>
      </a:accent3>
      <a:accent4>
        <a:srgbClr val="E20033"/>
      </a:accent4>
      <a:accent5>
        <a:srgbClr val="FF9900"/>
      </a:accent5>
      <a:accent6>
        <a:srgbClr val="FFCC00"/>
      </a:accent6>
      <a:hlink>
        <a:srgbClr val="000000"/>
      </a:hlink>
      <a:folHlink>
        <a:srgbClr val="000000"/>
      </a:folHlink>
    </a:clrScheme>
    <a:fontScheme name="_Tokio Marine Fonts">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D365F6-DB03-4908-95E0-6EE699F99E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Tokio Marine Policy (PMRI)</Template>
  <TotalTime>0</TotalTime>
  <Pages>3</Pages>
  <Words>489</Words>
  <Characters>2793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HCC</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Alison Sanders</dc:creator>
  <dc:description>Built by www.mediasterling.com</dc:description>
  <cp:lastModifiedBy>Wolstenholme, Stuart</cp:lastModifiedBy>
  <cp:revision>3</cp:revision>
  <cp:lastPrinted>2018-09-04T14:43:00Z</cp:lastPrinted>
  <dcterms:created xsi:type="dcterms:W3CDTF">2026-05-28T11:51:00Z</dcterms:created>
  <dcterms:modified xsi:type="dcterms:W3CDTF">2026-05-28T11:53:00Z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 Version">
    <vt:lpwstr>1.0.2</vt:lpwstr>
  </property>
</Properties>
</file>