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CyberGuard™ (Cyber Liability)</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pPr>
        <w:pStyle w:val="BodyText"/>
        <w:rPr/>
      </w:pPr>
      <w:r>
        <w:rPr>
          <w:rFonts w:asciiTheme="majorHAnsi" w:hAnsiTheme="majorHAnsi"/>
        </w:rPr>
        <w:t xml:space="preserve">In respect of Section 12 (Media Liability) only, if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disagree as to whether or how any claim should be defended, settled or pursued, either party may require the matter to be referred to a King’s Counsel of the English Bar to be mutually agreed between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(or, failing agreement within 14 (fourteen) working days, to be appointed by the Chairman of the Bar Council or their representative). The opinion of such King’s Counsel as to the conduct of the matter shall be binding on both parties. In giving such opinion the King’s Counsel shall have regard to the interests of both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and the costs of the reference shall be allocated by the King’s Counsel on a fair and equitable basis.</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t xml:space="preserve">The </w:t>
      </w:r>
      <w:r>
        <w:rPr>
          <w:b/>
        </w:rPr>
        <w:t xml:space="preserve">Insured</w:t>
      </w:r>
      <w:r>
        <w:t xml:space="preserve"> shall not, without the </w:t>
      </w:r>
      <w:r>
        <w:rPr>
          <w:b/>
        </w:rPr>
        <w:t xml:space="preserve">Insurer’s</w:t>
      </w:r>
      <w:r>
        <w:t xml:space="preserve"> written consent, make any admission of liability, promise, payment, compensation, offer, negotiation or settlement of any claim. The </w:t>
      </w:r>
      <w:r>
        <w:rPr>
          <w:b/>
        </w:rPr>
        <w:t xml:space="preserve">Insurer</w:t>
      </w:r>
      <w:r>
        <w:t xml:space="preserve"> shall not be entitled to rely on any breach of this condition to reduce or refuse a claim except to the extent that the </w:t>
      </w:r>
      <w:r>
        <w:rPr>
          <w:b/>
        </w:rPr>
        <w:t xml:space="preserve">Insurer’s</w:t>
      </w:r>
      <w:r>
        <w:t xml:space="preserve"> position has been prejudiced by the breach.</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pPr>
        <w:pStyle w:val="Heading3"/>
        <w:rPr/>
      </w:pPr>
      <w:r>
        <w:t xml:space="preserve">Proof of Ownership and Value</w:t>
      </w:r>
    </w:p>
    <w:p>
      <w:pPr>
        <w:pStyle w:val="BodyText"/>
        <w:rPr/>
      </w:pPr>
      <w:r>
        <w:t xml:space="preserve">Following any claim for theft or loss, the </w:t>
      </w:r>
      <w:r>
        <w:rPr>
          <w:b/>
        </w:rPr>
        <w:t xml:space="preserve">Insurer</w:t>
      </w:r>
      <w:r>
        <w:t xml:space="preserve"> may request reasonable evidence of ownership and value in respect of any high value item or any item insured on an </w:t>
      </w:r>
      <w:r>
        <w:rPr>
          <w:b/>
        </w:rPr>
        <w:t xml:space="preserve">Agreed Value</w:t>
      </w:r>
      <w:r>
        <w:t xml:space="preserve"> basis (including but not limited to purchase invoices, professional valuations, photographs, serial numbers or other documentary evidence). The </w:t>
      </w:r>
      <w:r>
        <w:rPr>
          <w:b/>
        </w:rPr>
        <w:t xml:space="preserve">Insured</w:t>
      </w:r>
      <w:r>
        <w:t xml:space="preserve"> shall provide such evidence within a reasonable period following the </w:t>
      </w:r>
      <w:r>
        <w:rPr>
          <w:b/>
        </w:rPr>
        <w:t xml:space="preserve">Insurer’s</w:t>
      </w:r>
      <w:r>
        <w:t xml:space="preserve"> request. The </w:t>
      </w:r>
      <w:r>
        <w:rPr>
          <w:b/>
        </w:rPr>
        <w:t xml:space="preserve">Insurer</w:t>
      </w:r>
      <w:r>
        <w:t xml:space="preserve"> shall not be obliged to pay any claim, or part of a claim, for an affected item where the </w:t>
      </w:r>
      <w:r>
        <w:rPr>
          <w:b/>
        </w:rPr>
        <w:t xml:space="preserve">Insured</w:t>
      </w:r>
      <w:r>
        <w:t xml:space="preserve"> fails to provide the evidence reasonably requested.</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pPr>
        <w:pStyle w:val="Heading3"/>
        <w:rPr/>
      </w:pPr>
      <w:r>
        <w:t xml:space="preserve">Money – Touring and Entertainment Activities</w:t>
      </w:r>
    </w:p>
    <w:p>
      <w:pPr>
        <w:pStyle w:val="BodyText"/>
        <w:rPr/>
      </w:pPr>
      <w:r>
        <w:t xml:space="preserve">This Sub-Section is extended to cover Damage to </w:t>
      </w:r>
      <w:r>
        <w:rPr>
          <w:b/>
        </w:rPr>
        <w:t xml:space="preserve">Money</w:t>
      </w:r>
      <w:r>
        <w:t xml:space="preserve"> belonging to the </w:t>
      </w:r>
      <w:r>
        <w:rPr>
          <w:b/>
        </w:rPr>
        <w:t xml:space="preserve">Insured</w:t>
      </w:r>
      <w:r>
        <w:t xml:space="preserve">, or for which the </w:t>
      </w:r>
      <w:r>
        <w:rPr>
          <w:b/>
        </w:rPr>
        <w:t xml:space="preserve">Insured</w:t>
      </w:r>
      <w:r>
        <w:t xml:space="preserve"> is responsible, whilst in transit, in temporary storage or at any temporary venue, festival site, box office or other location used in connection with touring, live events, performances, productions or other music or entertainment activities undertaken by the </w:t>
      </w:r>
      <w:r>
        <w:rPr>
          <w:b/>
        </w:rPr>
        <w:t xml:space="preserve">Insured</w:t>
      </w:r>
      <w:r>
        <w:t xml:space="preserve">, anywhere within the Geographical Limits stated in the Schedule. The </w:t>
      </w:r>
      <w:r>
        <w:rPr>
          <w:b/>
        </w:rPr>
        <w:t xml:space="preserve">Insurer’s</w:t>
      </w:r>
      <w:r>
        <w:t xml:space="preserve"> liability under this Extension shall not exceed the sum stated in the Schedule against this Extension. This Extension is subject otherwise to the Definitions, Conditions and Exclusions of this Sub-Section.</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t xml:space="preserve">Any computer or computing, electronic, wireless, web or similar system (including any associated input, output, data storage, networking or back-up device or facility), and all computer hardware, software, firmware, microcode, data, communications systems, networks, protocols, electronic documents, websites, intranet, extranet and cloud or off-line storage facilities, used to process, store, transmit or retrieve data or information in any analogue, digital, electronic or wireless format, owned, operated, leased, licensed or utilised by the </w:t>
      </w:r>
      <w:r>
        <w:rPr>
          <w:b/>
        </w:rPr>
        <w:t xml:space="preserve">Insured</w:t>
      </w:r>
      <w:r>
        <w:t xml:space="preserve"> or any other party. This definition is intended to be consistent with the meaning of “Computer System” in Section 15 (CyberGuard™ (Cyber Liability)).</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pPr>
        <w:pStyle w:val="Heading3"/>
        <w:rPr/>
      </w:pPr>
      <w:r>
        <w:rPr>
          <w:lang w:eastAsia="en-GB"/>
        </w:rPr>
        <w:t xml:space="preserve">Representation Costs at Investigations and Inquiries</w:t>
      </w:r>
    </w:p>
    <w:p>
      <w:pPr>
        <w:pStyle w:val="BodyText"/>
        <w:rPr/>
      </w:pPr>
      <w:r>
        <w:rPr>
          <w:lang w:eastAsia="en-GB"/>
        </w:rPr>
        <w:t xml:space="preserve">Up to a maximum of GBP 25,000 (twenty-five thousand pounds sterling) in the aggregate in the Period of Insurance, for the reasonable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respect of attendance at or representation before any official examination, investigation, inquiry or other proceeding arising from the </w:t>
      </w:r>
      <w:r>
        <w:rPr>
          <w:lang w:eastAsia="en-GB"/>
          <w:b/>
        </w:rPr>
        <w:t xml:space="preserve">Insured’s</w:t>
      </w:r>
      <w:r>
        <w:rPr>
          <w:lang w:eastAsia="en-GB"/>
        </w:rPr>
        <w:t xml:space="preserve"> Media Business Services and which is likely to give rise to a claim under Insuring Clause 1. (Indemnity). This cover forms part of and does not increase the Indemnity Limit.</w:t>
      </w:r>
    </w:p>
    <w:p>
      <w:pPr>
        <w:pStyle w:val="Heading3"/>
        <w:rPr/>
      </w:pPr>
      <w:r>
        <w:rPr>
          <w:lang w:eastAsia="en-GB"/>
        </w:rPr>
        <w:t xml:space="preserve">Costs for the Protection of Journalistic Sources</w:t>
      </w:r>
    </w:p>
    <w:p>
      <w:pPr>
        <w:pStyle w:val="BodyText"/>
        <w:rPr/>
      </w:pPr>
      <w:r>
        <w:rPr>
          <w:lang w:eastAsia="en-GB"/>
        </w:rPr>
        <w:t xml:space="preserve">Up to the sub-limit stated in the Schedule against this Extension, for the reasonable legal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opposing or responding to any subpoena, court order or other legal compulsion requiring the </w:t>
      </w:r>
      <w:r>
        <w:rPr>
          <w:lang w:eastAsia="en-GB"/>
          <w:b/>
        </w:rPr>
        <w:t xml:space="preserve">Insured</w:t>
      </w:r>
      <w:r>
        <w:rPr>
          <w:lang w:eastAsia="en-GB"/>
        </w:rPr>
        <w:t xml:space="preserve"> to disclose the identity of a confidential journalistic source, where such disclosure arises from the </w:t>
      </w:r>
      <w:r>
        <w:rPr>
          <w:lang w:eastAsia="en-GB"/>
          <w:b/>
        </w:rPr>
        <w:t xml:space="preserve">Insured’s</w:t>
      </w:r>
      <w:r>
        <w:rPr>
          <w:lang w:eastAsia="en-GB"/>
        </w:rPr>
        <w:t xml:space="preserve"> Media Business Services. The </w:t>
      </w:r>
      <w:r>
        <w:rPr>
          <w:lang w:eastAsia="en-GB"/>
          <w:b/>
        </w:rPr>
        <w:t xml:space="preserve">Insurer</w:t>
      </w:r>
      <w:r>
        <w:rPr>
          <w:lang w:eastAsia="en-GB"/>
        </w:rPr>
        <w:t xml:space="preserve"> will only provide such cover where, in the opinion of counsel, there are reasonable grounds to oppose disclosure. This cover forms part of and does not increase the Indemnity Limit.</w:t>
      </w:r>
    </w:p>
    <w:p>
      <w:pPr>
        <w:pStyle w:val="Heading3"/>
        <w:rPr/>
      </w:pPr>
      <w:r>
        <w:rPr>
          <w:lang w:eastAsia="en-GB"/>
        </w:rPr>
        <w:t xml:space="preserve">Criminal and Regulatory Defence Costs</w:t>
      </w:r>
    </w:p>
    <w:p>
      <w:pPr>
        <w:pStyle w:val="BodyText"/>
        <w:rPr/>
      </w:pPr>
      <w:r>
        <w:rPr>
          <w:lang w:eastAsia="en-GB"/>
        </w:rPr>
        <w:t xml:space="preserve">In addition to the Data Protection Defence Costs provided above, the </w:t>
      </w:r>
      <w:r>
        <w:rPr>
          <w:lang w:eastAsia="en-GB"/>
          <w:b/>
        </w:rPr>
        <w:t xml:space="preserve">Insured</w:t>
      </w:r>
      <w:r>
        <w:rPr>
          <w:lang w:eastAsia="en-GB"/>
        </w:rPr>
        <w:t xml:space="preserve"> is reminded that defence of criminal and regulatory proceedings may also be available under Section 13 (Commercial Legal Expenses) and Section 14 (Management Liability), subject to the terms of those Sections. The </w:t>
      </w:r>
      <w:r>
        <w:rPr>
          <w:lang w:eastAsia="en-GB"/>
          <w:b/>
        </w:rPr>
        <w:t xml:space="preserve">Insurer</w:t>
      </w:r>
      <w:r>
        <w:rPr>
          <w:lang w:eastAsia="en-GB"/>
        </w:rPr>
        <w:t xml:space="preserve"> will further contribute, up to the sub-limit stated in the Schedule against this Extension and with the </w:t>
      </w:r>
      <w:r>
        <w:rPr>
          <w:lang w:eastAsia="en-GB"/>
          <w:b/>
        </w:rPr>
        <w:t xml:space="preserve">Insurer’s</w:t>
      </w:r>
      <w:r>
        <w:rPr>
          <w:lang w:eastAsia="en-GB"/>
        </w:rPr>
        <w:t xml:space="preserve"> prior written consent, towards the reasonable defence costs of any criminal or regulatory proceeding brought against the </w:t>
      </w:r>
      <w:r>
        <w:rPr>
          <w:lang w:eastAsia="en-GB"/>
          <w:b/>
        </w:rPr>
        <w:t xml:space="preserve">Insured</w:t>
      </w:r>
      <w:r>
        <w:rPr>
          <w:lang w:eastAsia="en-GB"/>
        </w:rPr>
        <w:t xml:space="preserve"> arising directly from the conduct of the </w:t>
      </w:r>
      <w:r>
        <w:rPr>
          <w:lang w:eastAsia="en-GB"/>
          <w:b/>
        </w:rPr>
        <w:t xml:space="preserve">Insured’s</w:t>
      </w:r>
      <w:r>
        <w:rPr>
          <w:lang w:eastAsia="en-GB"/>
        </w:rPr>
        <w:t xml:space="preserve"> Media Business Services, save to the extent that cover is provided under Section 13 or Section 14. This cover forms part of and does not increase the Indemnity Limit and excludes fines, penalties and any costs incurred after a plea or finding of guilt.</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pPr>
        <w:pStyle w:val="Heading3"/>
        <w:rPr/>
      </w:pPr>
      <w:r>
        <w:t xml:space="preserve">Distributors and Purchasers</w:t>
      </w:r>
    </w:p>
    <w:p>
      <w:pPr>
        <w:pStyle w:val="BodyText"/>
        <w:rPr/>
      </w:pPr>
      <w:r>
        <w:t xml:space="preserve">The indemnity provided by Insuring Clause 1. (Indemnity) is extended to apply to any purchaser, co-producer, licensee or distributor of Media Material produced or supplied by the </w:t>
      </w:r>
      <w:r>
        <w:rPr>
          <w:b/>
        </w:rPr>
        <w:t xml:space="preserve">Insured</w:t>
      </w:r>
      <w:r>
        <w:t xml:space="preserve">, but only in respect of claims arising from such Media Material and only where the </w:t>
      </w:r>
      <w:r>
        <w:rPr>
          <w:b/>
        </w:rPr>
        <w:t xml:space="preserve">Insured</w:t>
      </w:r>
      <w:r>
        <w:t xml:space="preserve"> is contractually obliged to provide such indemnity. The </w:t>
      </w:r>
      <w:r>
        <w:rPr>
          <w:b/>
        </w:rPr>
        <w:t xml:space="preserve">Insurer’s</w:t>
      </w:r>
      <w:r>
        <w:t xml:space="preserve"> total liability under this Extension shall not exceed five (5) times the Indemnity Limit in the aggregate during the Period of Insurance for all claims arising from each production of Media Material so purchased, co-produced, licensed or distributed. Cover under this Extension is conditional upon the </w:t>
      </w:r>
      <w:r>
        <w:rPr>
          <w:b/>
        </w:rPr>
        <w:t xml:space="preserve">Insurer</w:t>
      </w:r>
      <w:r>
        <w:t xml:space="preserve"> retaining the right to conduct the defence and settlement of any such claim, and upon any claim being first made against, and notified to the </w:t>
      </w:r>
      <w:r>
        <w:rPr>
          <w:b/>
        </w:rPr>
        <w:t xml:space="preserve">Insurer</w:t>
      </w:r>
      <w:r>
        <w:t xml:space="preserve"> by, the </w:t>
      </w:r>
      <w:r>
        <w:rPr>
          <w:b/>
        </w:rPr>
        <w:t xml:space="preserve">Insured</w:t>
      </w:r>
      <w:r>
        <w:t xml:space="preserve"> during the Period of Insurance.</w:t>
      </w:r>
    </w:p>
    <w:p>
      <w:pPr>
        <w:pStyle w:val="Heading3"/>
        <w:rPr/>
      </w:pPr>
      <w:r>
        <w:t xml:space="preserve">Worldwide Territory and Jurisdiction (Optional)</w:t>
      </w:r>
    </w:p>
    <w:p>
      <w:pPr>
        <w:pStyle w:val="BodyText"/>
        <w:rPr/>
      </w:pPr>
      <w:r>
        <w:t xml:space="preserve">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 Cover in respect of claims brought in, or determined under the laws of, the United States of America or Canada (or any territory or protectorate thereof) applies only if “USA/Canada Jurisdiction” is additionally stated as operative in the Schedule.</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pPr>
        <w:pStyle w:val="BodyText"/>
        <w:rPr/>
      </w:pPr>
      <w:r>
        <w:rPr>
          <w:rFonts w:eastAsia="MS Mincho"/>
        </w:rPr>
        <w:t xml:space="preserve">provided that this Exclusion shall not apply to any claim arising solely from a negligent act, negligent error or negligent omission in the provision of the </w:t>
      </w:r>
      <w:r>
        <w:rPr>
          <w:rFonts w:eastAsia="MS Mincho"/>
          <w:b/>
        </w:rPr>
        <w:t xml:space="preserve">Insured’s</w:t>
      </w:r>
      <w:r>
        <w:rPr>
          <w:rFonts w:eastAsia="MS Mincho"/>
        </w:rPr>
        <w:t xml:space="preserve"> Media Business Services (and not from any seepage, Pollution or contamination caused by the </w:t>
      </w:r>
      <w:r>
        <w:rPr>
          <w:rFonts w:eastAsia="MS Mincho"/>
          <w:b/>
        </w:rPr>
        <w:t xml:space="preserve">Insured’s</w:t>
      </w:r>
      <w:r>
        <w:rPr>
          <w:rFonts w:eastAsia="MS Mincho"/>
        </w:rPr>
        <w:t xml:space="preserve"> own operations, premises or activities), and provided further that this write-back shall not extend to any claim for Bodily Injury, property damage, or the costs of removing, nullifying, cleaning up or remediating any pollutant. The </w:t>
      </w:r>
      <w:r>
        <w:rPr>
          <w:rFonts w:eastAsia="MS Mincho"/>
          <w:b/>
        </w:rPr>
        <w:t xml:space="preserve">Insurer’s</w:t>
      </w:r>
      <w:r>
        <w:rPr>
          <w:rFonts w:eastAsia="MS Mincho"/>
        </w:rPr>
        <w:t xml:space="preserve"> liability under this write-back shall not exceed the sub-limit stated in the Schedule against this write-back.</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t xml:space="preserve">Any natural person who is, or who alleges they are or were, working for </w:t>
      </w:r>
      <w:r>
        <w:rPr>
          <w:b/>
        </w:rPr>
        <w:t xml:space="preserve">You</w:t>
      </w:r>
      <w:r>
        <w:t xml:space="preserve"> under </w:t>
      </w:r>
      <w:r>
        <w:rPr>
          <w:b/>
        </w:rPr>
        <w:t xml:space="preserve">Your</w:t>
      </w:r>
      <w:r>
        <w:t xml:space="preserve"> direction, control or supervision in connection with the </w:t>
      </w:r>
      <w:r>
        <w:rPr>
          <w:b/>
        </w:rPr>
        <w:t xml:space="preserve">Business</w:t>
      </w:r>
      <w:r>
        <w:t xml:space="preserve">, including: (a) any person under a contract of service or apprenticeship with </w:t>
      </w:r>
      <w:r>
        <w:rPr>
          <w:b/>
        </w:rPr>
        <w:t xml:space="preserve">You</w:t>
      </w:r>
      <w:r>
        <w:t xml:space="preserve">; (b) any person employed on a labour-only basis, or self-employed and supplying labour only under a contract for services; (c) any person hired or borrowed by </w:t>
      </w:r>
      <w:r>
        <w:rPr>
          <w:b/>
        </w:rPr>
        <w:t xml:space="preserve">You</w:t>
      </w:r>
      <w:r>
        <w:t xml:space="preserve"> from another employer; and (d) any voluntary helper, work-experience or training-scheme participant, secondee, student or prospective employee being assessed as to their suitability for employment.</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r>
        <w:rPr>
          <w:rFonts w:ascii="Arial" w:eastAsia="Calibri" w:hAnsi="Arial" w:cs="Times New Roman"/>
        </w:rPr>
        <w:t xml:space="preserve"> (Cyber Liability)</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