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drawing>
          <wp:inline xmlns:a="http://schemas.openxmlformats.org/drawingml/2006/main" xmlns:pic="http://schemas.openxmlformats.org/drawingml/2006/picture">
            <wp:extent cx="582188" cy="540000"/>
            <wp:docPr id="1" name="Picture 1"/>
            <wp:cNvGraphicFramePr>
              <a:graphicFrameLocks noChangeAspect="1"/>
            </wp:cNvGraphicFramePr>
            <a:graphic>
              <a:graphicData uri="http://schemas.openxmlformats.org/drawingml/2006/picture">
                <pic:pic>
                  <pic:nvPicPr>
                    <pic:cNvPr id="0" name="tmhcc_logo.png"/>
                    <pic:cNvPicPr/>
                  </pic:nvPicPr>
                  <pic:blipFill>
                    <a:blip r:embed="rId11"/>
                    <a:stretch>
                      <a:fillRect/>
                    </a:stretch>
                  </pic:blipFill>
                  <pic:spPr>
                    <a:xfrm>
                      <a:off x="0" y="0"/>
                      <a:ext cx="582188" cy="540000"/>
                    </a:xfrm>
                    <a:prstGeom prst="rect"/>
                  </pic:spPr>
                </pic:pic>
              </a:graphicData>
            </a:graphic>
          </wp:inline>
        </w:drawing>
      </w:r>
    </w:p>
    <w:p>
      <w:pPr>
        <w:spacing w:after="600"/>
      </w:pPr>
    </w:p>
    <w:p>
      <w:pPr>
        <w:spacing w:after="40"/>
      </w:pPr>
      <w:r>
        <w:rPr>
          <w:rFonts w:ascii="Lato" w:hAnsi="Lato" w:cs="Lato"/>
          <w:b/>
          <w:i w:val="0"/>
          <w:color w:val="B88A3C"/>
          <w:sz w:val="22"/>
          <w:caps w:val="true"/>
        </w:rPr>
        <w:t>Coverage Comparison — Media &amp; Entertainment</w:t>
      </w:r>
    </w:p>
    <w:p>
      <w:pPr>
        <w:spacing w:after="80"/>
        <w:pBdr>
          <w:bottom w:val="single" w:sz="14" w:space="2" w:color="B88A3C"/>
        </w:pBdr>
      </w:pPr>
      <w:r>
        <w:rPr>
          <w:rFonts w:ascii="Lato" w:hAnsi="Lato" w:cs="Lato"/>
          <w:b/>
          <w:i w:val="0"/>
          <w:color w:val="00648B"/>
          <w:sz w:val="60"/>
        </w:rPr>
        <w:t>Why TMHCC — Coverage Comparison</w:t>
      </w:r>
    </w:p>
    <w:p>
      <w:pPr>
        <w:spacing w:after="280" w:before="120"/>
      </w:pPr>
      <w:r>
        <w:rPr>
          <w:rFonts w:ascii="Lato" w:hAnsi="Lato" w:cs="Lato"/>
          <w:b w:val="0"/>
          <w:i w:val="0"/>
          <w:color w:val="2B2F33"/>
          <w:sz w:val="26"/>
        </w:rPr>
        <w:t>How the Tokio Marine HCC Media &amp; Music Combined wording compares, section by section, with five other entertainment-market wordings (Tysers/Zurich, Yutree/AXA, Liberty, Allianz and AXA XL).</w:t>
      </w:r>
    </w:p>
    <w:p>
      <w:pPr>
        <w:keepNext/>
        <w:spacing w:before="120" w:after="20"/>
      </w:pPr>
      <w:r>
        <w:rPr>
          <w:rFonts w:ascii="Lato" w:hAnsi="Lato" w:cs="Lato"/>
          <w:b/>
          <w:i w:val="0"/>
          <w:color w:val="B88A3C"/>
          <w:sz w:val="20"/>
        </w:rPr>
        <w:t>Wordings reviewed</w:t>
      </w:r>
    </w:p>
    <w:p>
      <w:pPr>
        <w:pStyle w:val="ListBullet"/>
        <w:spacing w:after="40"/>
        <w:ind w:left="340"/>
      </w:pPr>
      <w:r>
        <w:rPr>
          <w:rFonts w:ascii="Lato" w:hAnsi="Lato" w:cs="Lato"/>
          <w:b w:val="0"/>
          <w:i w:val="0"/>
          <w:color w:val="2B2F33"/>
          <w:sz w:val="19"/>
        </w:rPr>
        <w:t>TMHCC — Tokio Marine HCC — Media &amp; Music Combined (Tokio Marine HCC); 15 sections (master/primary wording)</w:t>
      </w:r>
    </w:p>
    <w:p>
      <w:pPr>
        <w:pStyle w:val="ListBullet"/>
        <w:spacing w:after="40"/>
        <w:ind w:left="340"/>
      </w:pPr>
      <w:r>
        <w:rPr>
          <w:rFonts w:ascii="Lato" w:hAnsi="Lato" w:cs="Lato"/>
          <w:b w:val="0"/>
          <w:i w:val="0"/>
          <w:color w:val="2B2F33"/>
          <w:sz w:val="19"/>
        </w:rPr>
        <w:t>Tysers (Zurich) — Tysers “Focus” Combined ‘All Risks’ Media policy (Zurich Insurance plc (capacity)); 9 sections</w:t>
      </w:r>
    </w:p>
    <w:p>
      <w:pPr>
        <w:pStyle w:val="ListBullet"/>
        <w:spacing w:after="40"/>
        <w:ind w:left="340"/>
      </w:pPr>
      <w:r>
        <w:rPr>
          <w:rFonts w:ascii="Lato" w:hAnsi="Lato" w:cs="Lato"/>
          <w:b w:val="0"/>
          <w:i w:val="0"/>
          <w:color w:val="2B2F33"/>
          <w:sz w:val="19"/>
        </w:rPr>
        <w:t>Yutree (AXA) — Media &amp; Entertainment by Yutree (AXA Insurance UK plc (capacity); Yutree Underwriting (MGA)); 12 cover sections</w:t>
      </w:r>
    </w:p>
    <w:p>
      <w:pPr>
        <w:pStyle w:val="ListBullet"/>
        <w:spacing w:after="40"/>
        <w:ind w:left="340"/>
      </w:pPr>
      <w:r>
        <w:rPr>
          <w:rFonts w:ascii="Lato" w:hAnsi="Lato" w:cs="Lato"/>
          <w:b w:val="0"/>
          <w:i w:val="0"/>
          <w:color w:val="2B2F33"/>
          <w:sz w:val="19"/>
        </w:rPr>
        <w:t>Liberty — Liberty Entertainment Combined Policy (Liberty (Liberty Specialty Markets)); 6 cover sections</w:t>
      </w:r>
    </w:p>
    <w:p>
      <w:pPr>
        <w:pStyle w:val="ListBullet"/>
        <w:spacing w:after="40"/>
        <w:ind w:left="340"/>
      </w:pPr>
      <w:r>
        <w:rPr>
          <w:rFonts w:ascii="Lato" w:hAnsi="Lato" w:cs="Lato"/>
          <w:b w:val="0"/>
          <w:i w:val="0"/>
          <w:color w:val="2B2F33"/>
          <w:sz w:val="19"/>
        </w:rPr>
        <w:t>Allianz — Allianz Entertainment ‘Complete’ Policy (Allianz); 8 cover sections (+ Terrorism)</w:t>
      </w:r>
    </w:p>
    <w:p>
      <w:pPr>
        <w:pStyle w:val="ListBullet"/>
        <w:spacing w:after="40"/>
        <w:ind w:left="340"/>
      </w:pPr>
      <w:r>
        <w:rPr>
          <w:rFonts w:ascii="Lato" w:hAnsi="Lato" w:cs="Lato"/>
          <w:b w:val="0"/>
          <w:i w:val="0"/>
          <w:color w:val="2B2F33"/>
          <w:sz w:val="19"/>
        </w:rPr>
        <w:t>AXA XL — AXA XL Media &amp; Entertainment Combined Corporate (Crisis Management &amp; Special Risks) (XL Catlin Insurance Company UK Ltd (AXA XL)); 3 operative sections (MD / BI / Liability)</w:t>
      </w:r>
    </w:p>
    <w:p>
      <w:pPr>
        <w:spacing w:after="200"/>
      </w:pPr>
    </w:p>
    <w:p>
      <w:pPr>
        <w:spacing w:after="60" w:before="0"/>
      </w:pPr>
      <w:r>
        <w:rPr>
          <w:rFonts w:ascii="Lato" w:hAnsi="Lato" w:cs="Lato"/>
          <w:b w:val="0"/>
          <w:i/>
          <w:color w:val="6C7378"/>
          <w:sz w:val="17"/>
        </w:rPr>
        <w:t>A client- and broker-facing guide to the breadth of the TMHCC wording. Indicative comparison for selection purposes only — always refer to the full policy wordings and the Schedule.</w:t>
      </w:r>
    </w:p>
    <w:p>
      <w:pPr>
        <w:spacing w:after="60" w:before="0"/>
      </w:pPr>
      <w:r>
        <w:rPr>
          <w:rFonts w:ascii="Lato" w:hAnsi="Lato" w:cs="Lato"/>
          <w:b w:val="0"/>
          <w:i/>
          <w:color w:val="6C7378"/>
          <w:sz w:val="17"/>
        </w:rPr>
        <w:t>Prepared from the wordings supplied; competitor capacity insurers noted where stated.</w:t>
      </w:r>
    </w:p>
    <w:p>
      <w:r>
        <w:br w:type="page"/>
      </w:r>
    </w:p>
    <w:p>
      <w:pPr>
        <w:keepNext/>
        <w:spacing w:before="280" w:after="40"/>
        <w:pBdr>
          <w:bottom w:val="single" w:sz="8" w:space="2" w:color="B88A3C"/>
        </w:pBdr>
      </w:pPr>
      <w:r>
        <w:rPr>
          <w:rFonts w:ascii="Lato" w:hAnsi="Lato" w:cs="Lato"/>
          <w:b/>
          <w:i w:val="0"/>
          <w:color w:val="B88A3C"/>
          <w:sz w:val="30"/>
        </w:rPr>
        <w:t xml:space="preserve">1  </w:t>
      </w:r>
      <w:r>
        <w:rPr>
          <w:rFonts w:ascii="Lato" w:hAnsi="Lato" w:cs="Lato"/>
          <w:b/>
          <w:i w:val="0"/>
          <w:color w:val="00648B"/>
          <w:sz w:val="30"/>
        </w:rPr>
        <w:t>Why TMHCC — in short</w:t>
      </w:r>
    </w:p>
    <w:p>
      <w:pPr>
        <w:spacing w:after="80" w:before="0"/>
        <w:jc w:val="both"/>
      </w:pPr>
      <w:r>
        <w:rPr>
          <w:rFonts w:ascii="Lato" w:hAnsi="Lato" w:cs="Lato"/>
          <w:b w:val="0"/>
          <w:i w:val="0"/>
          <w:color w:val="2B2F33"/>
          <w:sz w:val="19"/>
        </w:rPr>
        <w:t>The TMHCC Media &amp; Music Combined wording is the broadest in this peer group. It is the only wording that brings all fifteen covers together in a single contract, and the only one to include Loss of Licence, Commercial Legal Expenses, Management Liability and a genuine standalone Cyber-liability section. Three of the five competitors (Liberty, Allianz and AXA XL) are property / business-interruption / liability packages with no media, professional-indemnity, production-indemnity, cyber, legal-expenses or management-liability cover at all.</w:t>
      </w:r>
    </w:p>
    <w:p>
      <w:pPr>
        <w:pStyle w:val="ListBullet"/>
        <w:spacing w:after="40"/>
        <w:ind w:left="340"/>
      </w:pPr>
      <w:r>
        <w:rPr>
          <w:rFonts w:ascii="Lato" w:hAnsi="Lato" w:cs="Lato"/>
          <w:b/>
          <w:i w:val="0"/>
          <w:color w:val="00648B"/>
          <w:sz w:val="19"/>
        </w:rPr>
        <w:t xml:space="preserve">One-stop wording:  </w:t>
      </w:r>
      <w:r>
        <w:rPr>
          <w:rFonts w:ascii="Lato" w:hAnsi="Lato" w:cs="Lato"/>
          <w:b w:val="0"/>
          <w:i w:val="0"/>
          <w:color w:val="2B2F33"/>
          <w:sz w:val="19"/>
        </w:rPr>
        <w:t>All fifteen covers in one place — fewer gaps, fewer separate policies to manage.</w:t>
      </w:r>
    </w:p>
    <w:p>
      <w:pPr>
        <w:pStyle w:val="ListBullet"/>
        <w:spacing w:after="40"/>
        <w:ind w:left="340"/>
      </w:pPr>
      <w:r>
        <w:rPr>
          <w:rFonts w:ascii="Lato" w:hAnsi="Lato" w:cs="Lato"/>
          <w:b/>
          <w:i w:val="0"/>
          <w:color w:val="00648B"/>
          <w:sz w:val="19"/>
        </w:rPr>
        <w:t xml:space="preserve">Four covers no competitor offers:  </w:t>
      </w:r>
      <w:r>
        <w:rPr>
          <w:rFonts w:ascii="Lato" w:hAnsi="Lato" w:cs="Lato"/>
          <w:b w:val="0"/>
          <w:i w:val="0"/>
          <w:color w:val="2B2F33"/>
          <w:sz w:val="19"/>
        </w:rPr>
        <w:t>Loss of Licence, Commercial Legal Expenses, Management Liability and standalone CyberGuard™ (Cyber Liability) — not offered by any of the five competitors reviewed.</w:t>
      </w:r>
    </w:p>
    <w:p>
      <w:pPr>
        <w:pStyle w:val="ListBullet"/>
        <w:spacing w:after="40"/>
        <w:ind w:left="340"/>
      </w:pPr>
      <w:r>
        <w:rPr>
          <w:rFonts w:ascii="Lato" w:hAnsi="Lato" w:cs="Lato"/>
          <w:b/>
          <w:i w:val="0"/>
          <w:color w:val="00648B"/>
          <w:sz w:val="19"/>
        </w:rPr>
        <w:t xml:space="preserve">Strong media cover:  </w:t>
      </w:r>
      <w:r>
        <w:rPr>
          <w:rFonts w:ascii="Lato" w:hAnsi="Lato" w:cs="Lato"/>
          <w:b w:val="0"/>
          <w:i w:val="0"/>
          <w:color w:val="2B2F33"/>
          <w:sz w:val="19"/>
        </w:rPr>
        <w:t>A broad Media Liability / Professional Indemnity section with reputation management, withdrawal-of-content, data-protection defence costs, virus cover and IP-pursuit costs — plus recently added market-matching enhancements.</w:t>
      </w:r>
    </w:p>
    <w:p>
      <w:pPr>
        <w:pStyle w:val="ListBullet"/>
        <w:spacing w:after="40"/>
        <w:ind w:left="340"/>
      </w:pPr>
      <w:r>
        <w:rPr>
          <w:rFonts w:ascii="Lato" w:hAnsi="Lato" w:cs="Lato"/>
          <w:b/>
          <w:i w:val="0"/>
          <w:color w:val="00648B"/>
          <w:sz w:val="19"/>
        </w:rPr>
        <w:t xml:space="preserve">Clear protection:  </w:t>
      </w:r>
      <w:r>
        <w:rPr>
          <w:rFonts w:ascii="Lato" w:hAnsi="Lato" w:cs="Lato"/>
          <w:b w:val="0"/>
          <w:i w:val="0"/>
          <w:color w:val="2B2F33"/>
          <w:sz w:val="19"/>
        </w:rPr>
        <w:t>A clean exclusion structure that keeps the cyber/date exclusion away from the liability sections, avoiding the ‘silent-cyber strip’ seen elsewhere.</w:t>
      </w:r>
    </w:p>
    <w:p>
      <w:pPr>
        <w:keepNext/>
        <w:spacing w:before="280" w:after="40"/>
        <w:pBdr>
          <w:bottom w:val="single" w:sz="8" w:space="2" w:color="B88A3C"/>
        </w:pBdr>
      </w:pPr>
      <w:r>
        <w:rPr>
          <w:rFonts w:ascii="Lato" w:hAnsi="Lato" w:cs="Lato"/>
          <w:b/>
          <w:i w:val="0"/>
          <w:color w:val="B88A3C"/>
          <w:sz w:val="30"/>
        </w:rPr>
        <w:t xml:space="preserve">2  </w:t>
      </w:r>
      <w:r>
        <w:rPr>
          <w:rFonts w:ascii="Lato" w:hAnsi="Lato" w:cs="Lato"/>
          <w:b/>
          <w:i w:val="0"/>
          <w:color w:val="00648B"/>
          <w:sz w:val="30"/>
        </w:rPr>
        <w:t>The wordings compared</w:t>
      </w:r>
    </w:p>
    <w:tbl>
      <w:tblPr>
        <w:tblW w:type="dxa" w:w="14742"/>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041"/>
        <w:gridCol w:w="5386"/>
        <w:gridCol w:w="3969"/>
        <w:gridCol w:w="3345"/>
      </w:tblGrid>
      <w:tr>
        <w:tc>
          <w:tcPr>
            <w:tcW w:type="dxa" w:w="2041"/>
            <w:shd w:val="clear" w:color="auto" w:fill="00648B"/>
          </w:tcPr>
          <w:p>
            <w:pPr>
              <w:spacing w:after="20" w:before="0"/>
              <w:jc w:val="center"/>
            </w:pPr>
            <w:r/>
            <w:r>
              <w:rPr>
                <w:rFonts w:ascii="Lato" w:hAnsi="Lato" w:cs="Lato"/>
                <w:b/>
                <w:i w:val="0"/>
                <w:color w:val="FFFFFF"/>
                <w:sz w:val="17"/>
              </w:rPr>
              <w:t>Wording</w:t>
            </w:r>
          </w:p>
        </w:tc>
        <w:tc>
          <w:tcPr>
            <w:tcW w:type="dxa" w:w="5386"/>
            <w:shd w:val="clear" w:color="auto" w:fill="00648B"/>
          </w:tcPr>
          <w:p>
            <w:pPr>
              <w:spacing w:after="20" w:before="0"/>
              <w:jc w:val="center"/>
            </w:pPr>
            <w:r/>
            <w:r>
              <w:rPr>
                <w:rFonts w:ascii="Lato" w:hAnsi="Lato" w:cs="Lato"/>
                <w:b/>
                <w:i w:val="0"/>
                <w:color w:val="FFFFFF"/>
                <w:sz w:val="17"/>
              </w:rPr>
              <w:t>Full title</w:t>
            </w:r>
          </w:p>
        </w:tc>
        <w:tc>
          <w:tcPr>
            <w:tcW w:type="dxa" w:w="3969"/>
            <w:shd w:val="clear" w:color="auto" w:fill="00648B"/>
          </w:tcPr>
          <w:p>
            <w:pPr>
              <w:spacing w:after="20" w:before="0"/>
              <w:jc w:val="center"/>
            </w:pPr>
            <w:r/>
            <w:r>
              <w:rPr>
                <w:rFonts w:ascii="Lato" w:hAnsi="Lato" w:cs="Lato"/>
                <w:b/>
                <w:i w:val="0"/>
                <w:color w:val="FFFFFF"/>
                <w:sz w:val="17"/>
              </w:rPr>
              <w:t>Capacity / insurer</w:t>
            </w:r>
          </w:p>
        </w:tc>
        <w:tc>
          <w:tcPr>
            <w:tcW w:type="dxa" w:w="3345"/>
            <w:shd w:val="clear" w:color="auto" w:fill="00648B"/>
          </w:tcPr>
          <w:p>
            <w:pPr>
              <w:spacing w:after="20" w:before="0"/>
              <w:jc w:val="center"/>
            </w:pPr>
            <w:r/>
            <w:r>
              <w:rPr>
                <w:rFonts w:ascii="Lato" w:hAnsi="Lato" w:cs="Lato"/>
                <w:b/>
                <w:i w:val="0"/>
                <w:color w:val="FFFFFF"/>
                <w:sz w:val="17"/>
              </w:rPr>
              <w:t>Structure</w:t>
            </w:r>
          </w:p>
        </w:tc>
      </w:tr>
      <w:tr>
        <w:tc>
          <w:tcPr>
            <w:tcW w:type="dxa" w:w="2041"/>
          </w:tcPr>
          <w:p>
            <w:pPr>
              <w:spacing w:after="20" w:before="0"/>
            </w:pPr>
            <w:r/>
            <w:r>
              <w:rPr>
                <w:rFonts w:ascii="Lato" w:hAnsi="Lato" w:cs="Lato"/>
                <w:b/>
                <w:i w:val="0"/>
                <w:color w:val="00648B"/>
                <w:sz w:val="17"/>
              </w:rPr>
              <w:t>TMHCC</w:t>
            </w:r>
          </w:p>
        </w:tc>
        <w:tc>
          <w:tcPr>
            <w:tcW w:type="dxa" w:w="5386"/>
          </w:tcPr>
          <w:p>
            <w:pPr>
              <w:spacing w:after="20" w:before="0"/>
            </w:pPr>
            <w:r/>
            <w:r>
              <w:rPr>
                <w:rFonts w:ascii="Lato" w:hAnsi="Lato" w:cs="Lato"/>
                <w:b w:val="0"/>
                <w:i w:val="0"/>
                <w:color w:val="2B2F33"/>
                <w:sz w:val="16"/>
              </w:rPr>
              <w:t>Tokio Marine HCC — Media &amp; Music Combined</w:t>
            </w:r>
          </w:p>
        </w:tc>
        <w:tc>
          <w:tcPr>
            <w:tcW w:type="dxa" w:w="3969"/>
          </w:tcPr>
          <w:p>
            <w:pPr>
              <w:spacing w:after="20" w:before="0"/>
            </w:pPr>
            <w:r/>
            <w:r>
              <w:rPr>
                <w:rFonts w:ascii="Lato" w:hAnsi="Lato" w:cs="Lato"/>
                <w:b w:val="0"/>
                <w:i w:val="0"/>
                <w:color w:val="2B2F33"/>
                <w:sz w:val="16"/>
              </w:rPr>
              <w:t>Tokio Marine HCC</w:t>
            </w:r>
          </w:p>
        </w:tc>
        <w:tc>
          <w:tcPr>
            <w:tcW w:type="dxa" w:w="3345"/>
          </w:tcPr>
          <w:p>
            <w:pPr>
              <w:spacing w:after="20" w:before="0"/>
            </w:pPr>
            <w:r/>
            <w:r>
              <w:rPr>
                <w:rFonts w:ascii="Lato" w:hAnsi="Lato" w:cs="Lato"/>
                <w:b w:val="0"/>
                <w:i w:val="0"/>
                <w:color w:val="2B2F33"/>
                <w:sz w:val="16"/>
              </w:rPr>
              <w:t>15 sections (master/primary wording)</w:t>
            </w:r>
          </w:p>
        </w:tc>
      </w:tr>
      <w:tr>
        <w:tc>
          <w:tcPr>
            <w:tcW w:type="dxa" w:w="2041"/>
            <w:shd w:val="clear" w:color="auto" w:fill="F4F7F9"/>
          </w:tcPr>
          <w:p>
            <w:pPr>
              <w:spacing w:after="20" w:before="0"/>
            </w:pPr>
            <w:r/>
            <w:r>
              <w:rPr>
                <w:rFonts w:ascii="Lato" w:hAnsi="Lato" w:cs="Lato"/>
                <w:b/>
                <w:i w:val="0"/>
                <w:color w:val="00648B"/>
                <w:sz w:val="17"/>
              </w:rPr>
              <w:t>Tysers (Zurich)</w:t>
            </w:r>
          </w:p>
        </w:tc>
        <w:tc>
          <w:tcPr>
            <w:tcW w:type="dxa" w:w="5386"/>
            <w:shd w:val="clear" w:color="auto" w:fill="F4F7F9"/>
          </w:tcPr>
          <w:p>
            <w:pPr>
              <w:spacing w:after="20" w:before="0"/>
            </w:pPr>
            <w:r/>
            <w:r>
              <w:rPr>
                <w:rFonts w:ascii="Lato" w:hAnsi="Lato" w:cs="Lato"/>
                <w:b w:val="0"/>
                <w:i w:val="0"/>
                <w:color w:val="2B2F33"/>
                <w:sz w:val="16"/>
              </w:rPr>
              <w:t>Tysers “Focus” Combined ‘All Risks’ Media policy</w:t>
            </w:r>
          </w:p>
        </w:tc>
        <w:tc>
          <w:tcPr>
            <w:tcW w:type="dxa" w:w="3969"/>
            <w:shd w:val="clear" w:color="auto" w:fill="F4F7F9"/>
          </w:tcPr>
          <w:p>
            <w:pPr>
              <w:spacing w:after="20" w:before="0"/>
            </w:pPr>
            <w:r/>
            <w:r>
              <w:rPr>
                <w:rFonts w:ascii="Lato" w:hAnsi="Lato" w:cs="Lato"/>
                <w:b w:val="0"/>
                <w:i w:val="0"/>
                <w:color w:val="2B2F33"/>
                <w:sz w:val="16"/>
              </w:rPr>
              <w:t>Zurich Insurance plc (capacity)</w:t>
            </w:r>
          </w:p>
        </w:tc>
        <w:tc>
          <w:tcPr>
            <w:tcW w:type="dxa" w:w="3345"/>
            <w:shd w:val="clear" w:color="auto" w:fill="F4F7F9"/>
          </w:tcPr>
          <w:p>
            <w:pPr>
              <w:spacing w:after="20" w:before="0"/>
            </w:pPr>
            <w:r/>
            <w:r>
              <w:rPr>
                <w:rFonts w:ascii="Lato" w:hAnsi="Lato" w:cs="Lato"/>
                <w:b w:val="0"/>
                <w:i w:val="0"/>
                <w:color w:val="2B2F33"/>
                <w:sz w:val="16"/>
              </w:rPr>
              <w:t>9 sections</w:t>
            </w:r>
          </w:p>
        </w:tc>
      </w:tr>
      <w:tr>
        <w:tc>
          <w:tcPr>
            <w:tcW w:type="dxa" w:w="2041"/>
          </w:tcPr>
          <w:p>
            <w:pPr>
              <w:spacing w:after="20" w:before="0"/>
            </w:pPr>
            <w:r/>
            <w:r>
              <w:rPr>
                <w:rFonts w:ascii="Lato" w:hAnsi="Lato" w:cs="Lato"/>
                <w:b/>
                <w:i w:val="0"/>
                <w:color w:val="00648B"/>
                <w:sz w:val="17"/>
              </w:rPr>
              <w:t>Yutree (AXA)</w:t>
            </w:r>
          </w:p>
        </w:tc>
        <w:tc>
          <w:tcPr>
            <w:tcW w:type="dxa" w:w="5386"/>
          </w:tcPr>
          <w:p>
            <w:pPr>
              <w:spacing w:after="20" w:before="0"/>
            </w:pPr>
            <w:r/>
            <w:r>
              <w:rPr>
                <w:rFonts w:ascii="Lato" w:hAnsi="Lato" w:cs="Lato"/>
                <w:b w:val="0"/>
                <w:i w:val="0"/>
                <w:color w:val="2B2F33"/>
                <w:sz w:val="16"/>
              </w:rPr>
              <w:t>Media &amp; Entertainment by Yutree</w:t>
            </w:r>
          </w:p>
        </w:tc>
        <w:tc>
          <w:tcPr>
            <w:tcW w:type="dxa" w:w="3969"/>
          </w:tcPr>
          <w:p>
            <w:pPr>
              <w:spacing w:after="20" w:before="0"/>
            </w:pPr>
            <w:r/>
            <w:r>
              <w:rPr>
                <w:rFonts w:ascii="Lato" w:hAnsi="Lato" w:cs="Lato"/>
                <w:b w:val="0"/>
                <w:i w:val="0"/>
                <w:color w:val="2B2F33"/>
                <w:sz w:val="16"/>
              </w:rPr>
              <w:t>AXA Insurance UK plc (capacity); Yutree Underwriting (MGA)</w:t>
            </w:r>
          </w:p>
        </w:tc>
        <w:tc>
          <w:tcPr>
            <w:tcW w:type="dxa" w:w="3345"/>
          </w:tcPr>
          <w:p>
            <w:pPr>
              <w:spacing w:after="20" w:before="0"/>
            </w:pPr>
            <w:r/>
            <w:r>
              <w:rPr>
                <w:rFonts w:ascii="Lato" w:hAnsi="Lato" w:cs="Lato"/>
                <w:b w:val="0"/>
                <w:i w:val="0"/>
                <w:color w:val="2B2F33"/>
                <w:sz w:val="16"/>
              </w:rPr>
              <w:t>12 cover sections</w:t>
            </w:r>
          </w:p>
        </w:tc>
      </w:tr>
      <w:tr>
        <w:tc>
          <w:tcPr>
            <w:tcW w:type="dxa" w:w="2041"/>
            <w:shd w:val="clear" w:color="auto" w:fill="F4F7F9"/>
          </w:tcPr>
          <w:p>
            <w:pPr>
              <w:spacing w:after="20" w:before="0"/>
            </w:pPr>
            <w:r/>
            <w:r>
              <w:rPr>
                <w:rFonts w:ascii="Lato" w:hAnsi="Lato" w:cs="Lato"/>
                <w:b/>
                <w:i w:val="0"/>
                <w:color w:val="00648B"/>
                <w:sz w:val="17"/>
              </w:rPr>
              <w:t>Liberty</w:t>
            </w:r>
          </w:p>
        </w:tc>
        <w:tc>
          <w:tcPr>
            <w:tcW w:type="dxa" w:w="5386"/>
            <w:shd w:val="clear" w:color="auto" w:fill="F4F7F9"/>
          </w:tcPr>
          <w:p>
            <w:pPr>
              <w:spacing w:after="20" w:before="0"/>
            </w:pPr>
            <w:r/>
            <w:r>
              <w:rPr>
                <w:rFonts w:ascii="Lato" w:hAnsi="Lato" w:cs="Lato"/>
                <w:b w:val="0"/>
                <w:i w:val="0"/>
                <w:color w:val="2B2F33"/>
                <w:sz w:val="16"/>
              </w:rPr>
              <w:t>Liberty Entertainment Combined Policy</w:t>
            </w:r>
          </w:p>
        </w:tc>
        <w:tc>
          <w:tcPr>
            <w:tcW w:type="dxa" w:w="3969"/>
            <w:shd w:val="clear" w:color="auto" w:fill="F4F7F9"/>
          </w:tcPr>
          <w:p>
            <w:pPr>
              <w:spacing w:after="20" w:before="0"/>
            </w:pPr>
            <w:r/>
            <w:r>
              <w:rPr>
                <w:rFonts w:ascii="Lato" w:hAnsi="Lato" w:cs="Lato"/>
                <w:b w:val="0"/>
                <w:i w:val="0"/>
                <w:color w:val="2B2F33"/>
                <w:sz w:val="16"/>
              </w:rPr>
              <w:t>Liberty (Liberty Specialty Markets)</w:t>
            </w:r>
          </w:p>
        </w:tc>
        <w:tc>
          <w:tcPr>
            <w:tcW w:type="dxa" w:w="3345"/>
            <w:shd w:val="clear" w:color="auto" w:fill="F4F7F9"/>
          </w:tcPr>
          <w:p>
            <w:pPr>
              <w:spacing w:after="20" w:before="0"/>
            </w:pPr>
            <w:r/>
            <w:r>
              <w:rPr>
                <w:rFonts w:ascii="Lato" w:hAnsi="Lato" w:cs="Lato"/>
                <w:b w:val="0"/>
                <w:i w:val="0"/>
                <w:color w:val="2B2F33"/>
                <w:sz w:val="16"/>
              </w:rPr>
              <w:t>6 cover sections</w:t>
            </w:r>
          </w:p>
        </w:tc>
      </w:tr>
      <w:tr>
        <w:tc>
          <w:tcPr>
            <w:tcW w:type="dxa" w:w="2041"/>
          </w:tcPr>
          <w:p>
            <w:pPr>
              <w:spacing w:after="20" w:before="0"/>
            </w:pPr>
            <w:r/>
            <w:r>
              <w:rPr>
                <w:rFonts w:ascii="Lato" w:hAnsi="Lato" w:cs="Lato"/>
                <w:b/>
                <w:i w:val="0"/>
                <w:color w:val="00648B"/>
                <w:sz w:val="17"/>
              </w:rPr>
              <w:t>Allianz</w:t>
            </w:r>
          </w:p>
        </w:tc>
        <w:tc>
          <w:tcPr>
            <w:tcW w:type="dxa" w:w="5386"/>
          </w:tcPr>
          <w:p>
            <w:pPr>
              <w:spacing w:after="20" w:before="0"/>
            </w:pPr>
            <w:r/>
            <w:r>
              <w:rPr>
                <w:rFonts w:ascii="Lato" w:hAnsi="Lato" w:cs="Lato"/>
                <w:b w:val="0"/>
                <w:i w:val="0"/>
                <w:color w:val="2B2F33"/>
                <w:sz w:val="16"/>
              </w:rPr>
              <w:t>Allianz Entertainment ‘Complete’ Policy</w:t>
            </w:r>
          </w:p>
        </w:tc>
        <w:tc>
          <w:tcPr>
            <w:tcW w:type="dxa" w:w="3969"/>
          </w:tcPr>
          <w:p>
            <w:pPr>
              <w:spacing w:after="20" w:before="0"/>
            </w:pPr>
            <w:r/>
            <w:r>
              <w:rPr>
                <w:rFonts w:ascii="Lato" w:hAnsi="Lato" w:cs="Lato"/>
                <w:b w:val="0"/>
                <w:i w:val="0"/>
                <w:color w:val="2B2F33"/>
                <w:sz w:val="16"/>
              </w:rPr>
              <w:t>Allianz</w:t>
            </w:r>
          </w:p>
        </w:tc>
        <w:tc>
          <w:tcPr>
            <w:tcW w:type="dxa" w:w="3345"/>
          </w:tcPr>
          <w:p>
            <w:pPr>
              <w:spacing w:after="20" w:before="0"/>
            </w:pPr>
            <w:r/>
            <w:r>
              <w:rPr>
                <w:rFonts w:ascii="Lato" w:hAnsi="Lato" w:cs="Lato"/>
                <w:b w:val="0"/>
                <w:i w:val="0"/>
                <w:color w:val="2B2F33"/>
                <w:sz w:val="16"/>
              </w:rPr>
              <w:t>8 cover sections (+ Terrorism)</w:t>
            </w:r>
          </w:p>
        </w:tc>
      </w:tr>
      <w:tr>
        <w:tc>
          <w:tcPr>
            <w:tcW w:type="dxa" w:w="2041"/>
            <w:shd w:val="clear" w:color="auto" w:fill="F4F7F9"/>
          </w:tcPr>
          <w:p>
            <w:pPr>
              <w:spacing w:after="20" w:before="0"/>
            </w:pPr>
            <w:r/>
            <w:r>
              <w:rPr>
                <w:rFonts w:ascii="Lato" w:hAnsi="Lato" w:cs="Lato"/>
                <w:b/>
                <w:i w:val="0"/>
                <w:color w:val="00648B"/>
                <w:sz w:val="17"/>
              </w:rPr>
              <w:t>AXA XL</w:t>
            </w:r>
          </w:p>
        </w:tc>
        <w:tc>
          <w:tcPr>
            <w:tcW w:type="dxa" w:w="5386"/>
            <w:shd w:val="clear" w:color="auto" w:fill="F4F7F9"/>
          </w:tcPr>
          <w:p>
            <w:pPr>
              <w:spacing w:after="20" w:before="0"/>
            </w:pPr>
            <w:r/>
            <w:r>
              <w:rPr>
                <w:rFonts w:ascii="Lato" w:hAnsi="Lato" w:cs="Lato"/>
                <w:b w:val="0"/>
                <w:i w:val="0"/>
                <w:color w:val="2B2F33"/>
                <w:sz w:val="16"/>
              </w:rPr>
              <w:t>AXA XL Media &amp; Entertainment Combined Corporate (Crisis Management &amp; Special Risks)</w:t>
            </w:r>
          </w:p>
        </w:tc>
        <w:tc>
          <w:tcPr>
            <w:tcW w:type="dxa" w:w="3969"/>
            <w:shd w:val="clear" w:color="auto" w:fill="F4F7F9"/>
          </w:tcPr>
          <w:p>
            <w:pPr>
              <w:spacing w:after="20" w:before="0"/>
            </w:pPr>
            <w:r/>
            <w:r>
              <w:rPr>
                <w:rFonts w:ascii="Lato" w:hAnsi="Lato" w:cs="Lato"/>
                <w:b w:val="0"/>
                <w:i w:val="0"/>
                <w:color w:val="2B2F33"/>
                <w:sz w:val="16"/>
              </w:rPr>
              <w:t>XL Catlin Insurance Company UK Ltd (AXA XL)</w:t>
            </w:r>
          </w:p>
        </w:tc>
        <w:tc>
          <w:tcPr>
            <w:tcW w:type="dxa" w:w="3345"/>
            <w:shd w:val="clear" w:color="auto" w:fill="F4F7F9"/>
          </w:tcPr>
          <w:p>
            <w:pPr>
              <w:spacing w:after="20" w:before="0"/>
            </w:pPr>
            <w:r/>
            <w:r>
              <w:rPr>
                <w:rFonts w:ascii="Lato" w:hAnsi="Lato" w:cs="Lato"/>
                <w:b w:val="0"/>
                <w:i w:val="0"/>
                <w:color w:val="2B2F33"/>
                <w:sz w:val="16"/>
              </w:rPr>
              <w:t>3 operative sections (MD / BI / Liability)</w:t>
            </w:r>
          </w:p>
        </w:tc>
      </w:tr>
    </w:tbl>
    <w:p>
      <w:pPr>
        <w:spacing w:after="80"/>
      </w:pPr>
    </w:p>
    <w:tbl>
      <w:tblPr>
        <w:tblW w:type="pct" w:w="5000"/>
        <w:tblLayout w:type="fixed"/>
        <w:tblLook w:firstColumn="1" w:firstRow="1" w:lastColumn="0" w:lastRow="0" w:noHBand="0" w:noVBand="1" w:val="04A0"/>
      </w:tblPr>
      <w:tblGrid>
        <w:gridCol w:w="15138"/>
      </w:tblGrid>
      <w:tr>
        <w:tc>
          <w:tcPr>
            <w:tcW w:type="dxa" w:w="15138"/>
            <w:shd w:val="clear" w:color="auto" w:fill="FBF1DA"/>
            <w:tcBorders>
              <w:top w:val="single" w:sz="4" w:space="0" w:color="B88A3C"/>
              <w:left w:val="single" w:sz="22" w:space="0" w:color="B88A3C"/>
              <w:bottom w:val="single" w:sz="4" w:space="0" w:color="B88A3C"/>
              <w:right w:val="single" w:sz="4" w:space="0" w:color="B88A3C"/>
            </w:tcBorders>
          </w:tcPr>
          <w:p>
            <w:pPr>
              <w:spacing w:after="40" w:before="40"/>
            </w:pPr>
            <w:r/>
            <w:r>
              <w:rPr>
                <w:rFonts w:ascii="Lato" w:hAnsi="Lato" w:cs="Lato"/>
                <w:b/>
                <w:i w:val="0"/>
                <w:color w:val="8A6A1E"/>
                <w:sz w:val="19"/>
              </w:rPr>
              <w:t xml:space="preserve">How to read the matrix:  </w:t>
            </w:r>
            <w:r>
              <w:rPr>
                <w:rFonts w:ascii="Lato" w:hAnsi="Lato" w:cs="Lato"/>
                <w:b w:val="0"/>
                <w:i w:val="0"/>
                <w:color w:val="2B2F33"/>
                <w:sz w:val="19"/>
              </w:rPr>
              <w:t>✓ = cover clearly present · ◐ = partial / conditional / sub-limited · ✗ = not covered / not identified · ? = unclear. The right-hand column explains, in plain language, what each row means for you.</w:t>
            </w:r>
          </w:p>
        </w:tc>
      </w:tr>
    </w:tbl>
    <w:p>
      <w:pPr>
        <w:spacing w:after="80"/>
      </w:pPr>
    </w:p>
    <w:p>
      <w:pPr>
        <w:keepNext/>
        <w:spacing w:before="280" w:after="40"/>
        <w:pBdr>
          <w:bottom w:val="single" w:sz="8" w:space="2" w:color="B88A3C"/>
        </w:pBdr>
      </w:pPr>
      <w:r>
        <w:rPr>
          <w:rFonts w:ascii="Lato" w:hAnsi="Lato" w:cs="Lato"/>
          <w:b/>
          <w:i w:val="0"/>
          <w:color w:val="B88A3C"/>
          <w:sz w:val="30"/>
        </w:rPr>
        <w:t xml:space="preserve">3  </w:t>
      </w:r>
      <w:r>
        <w:rPr>
          <w:rFonts w:ascii="Lato" w:hAnsi="Lato" w:cs="Lato"/>
          <w:b/>
          <w:i w:val="0"/>
          <w:color w:val="00648B"/>
          <w:sz w:val="30"/>
        </w:rPr>
        <w:t>Cover at a glance</w:t>
      </w:r>
    </w:p>
    <w:p>
      <w:pPr>
        <w:spacing w:after="80" w:before="0"/>
      </w:pPr>
      <w:r>
        <w:rPr>
          <w:rFonts w:ascii="Lato" w:hAnsi="Lato" w:cs="Lato"/>
          <w:b w:val="0"/>
          <w:i w:val="0"/>
          <w:color w:val="2B2F33"/>
          <w:sz w:val="19"/>
        </w:rPr>
        <w:t>Section-by-section availability across all six wordings.</w:t>
      </w:r>
    </w:p>
    <w:p>
      <w:pPr>
        <w:spacing w:after="120"/>
      </w:pPr>
      <w:r>
        <w:rPr>
          <w:rFonts w:ascii="Lato" w:hAnsi="Lato" w:cs="Lato"/>
          <w:b/>
          <w:i w:val="0"/>
          <w:color w:val="1B7A3D"/>
          <w:sz w:val="19"/>
        </w:rPr>
        <w:t xml:space="preserve">✓ </w:t>
      </w:r>
      <w:r>
        <w:rPr>
          <w:rFonts w:ascii="Lato" w:hAnsi="Lato" w:cs="Lato"/>
          <w:b w:val="0"/>
          <w:i w:val="0"/>
          <w:color w:val="6C7378"/>
          <w:sz w:val="17"/>
        </w:rPr>
        <w:t>Covered</w:t>
      </w:r>
      <w:r>
        <w:rPr>
          <w:rFonts w:ascii="Lato" w:hAnsi="Lato" w:cs="Lato"/>
          <w:b w:val="0"/>
          <w:i w:val="0"/>
          <w:color w:val="AEB4B8"/>
          <w:sz w:val="17"/>
        </w:rPr>
        <w:t xml:space="preserve">     </w:t>
      </w:r>
      <w:r>
        <w:rPr>
          <w:rFonts w:ascii="Lato" w:hAnsi="Lato" w:cs="Lato"/>
          <w:b/>
          <w:i w:val="0"/>
          <w:color w:val="8A6A1E"/>
          <w:sz w:val="19"/>
        </w:rPr>
        <w:t xml:space="preserve">◐ </w:t>
      </w:r>
      <w:r>
        <w:rPr>
          <w:rFonts w:ascii="Lato" w:hAnsi="Lato" w:cs="Lato"/>
          <w:b w:val="0"/>
          <w:i w:val="0"/>
          <w:color w:val="6C7378"/>
          <w:sz w:val="17"/>
        </w:rPr>
        <w:t>Partial / conditional / sub-limit</w:t>
      </w:r>
      <w:r>
        <w:rPr>
          <w:rFonts w:ascii="Lato" w:hAnsi="Lato" w:cs="Lato"/>
          <w:b w:val="0"/>
          <w:i w:val="0"/>
          <w:color w:val="AEB4B8"/>
          <w:sz w:val="17"/>
        </w:rPr>
        <w:t xml:space="preserve">     </w:t>
      </w:r>
      <w:r>
        <w:rPr>
          <w:rFonts w:ascii="Lato" w:hAnsi="Lato" w:cs="Lato"/>
          <w:b/>
          <w:i w:val="0"/>
          <w:color w:val="A4233B"/>
          <w:sz w:val="19"/>
        </w:rPr>
        <w:t xml:space="preserve">✗ </w:t>
      </w:r>
      <w:r>
        <w:rPr>
          <w:rFonts w:ascii="Lato" w:hAnsi="Lato" w:cs="Lato"/>
          <w:b w:val="0"/>
          <w:i w:val="0"/>
          <w:color w:val="6C7378"/>
          <w:sz w:val="17"/>
        </w:rPr>
        <w:t>Not covered / not identified</w:t>
      </w:r>
      <w:r>
        <w:rPr>
          <w:rFonts w:ascii="Lato" w:hAnsi="Lato" w:cs="Lato"/>
          <w:b w:val="0"/>
          <w:i w:val="0"/>
          <w:color w:val="AEB4B8"/>
          <w:sz w:val="17"/>
        </w:rPr>
        <w:t xml:space="preserve">     </w:t>
      </w:r>
      <w:r>
        <w:rPr>
          <w:rFonts w:ascii="Lato" w:hAnsi="Lato" w:cs="Lato"/>
          <w:b/>
          <w:i w:val="0"/>
          <w:color w:val="5B6166"/>
          <w:sz w:val="19"/>
        </w:rPr>
        <w:t xml:space="preserve">? </w:t>
      </w:r>
      <w:r>
        <w:rPr>
          <w:rFonts w:ascii="Lato" w:hAnsi="Lato" w:cs="Lato"/>
          <w:b w:val="0"/>
          <w:i w:val="0"/>
          <w:color w:val="6C7378"/>
          <w:sz w:val="17"/>
        </w:rPr>
        <w:t>Unclear – requires review</w:t>
      </w:r>
    </w:p>
    <w:tbl>
      <w:tblPr>
        <w:tblW w:type="dxa" w:w="14742"/>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835"/>
        <w:gridCol w:w="964"/>
        <w:gridCol w:w="964"/>
        <w:gridCol w:w="964"/>
        <w:gridCol w:w="964"/>
        <w:gridCol w:w="964"/>
        <w:gridCol w:w="964"/>
        <w:gridCol w:w="6124"/>
      </w:tblGrid>
      <w:tr>
        <w:tc>
          <w:tcPr>
            <w:tcW w:type="dxa" w:w="2835"/>
            <w:shd w:val="clear" w:color="auto" w:fill="00648B"/>
          </w:tcPr>
          <w:p>
            <w:pPr>
              <w:spacing w:after="20" w:before="0"/>
              <w:jc w:val="center"/>
            </w:pPr>
            <w:r/>
            <w:r>
              <w:rPr>
                <w:rFonts w:ascii="Lato" w:hAnsi="Lato" w:cs="Lato"/>
                <w:b/>
                <w:i w:val="0"/>
                <w:color w:val="FFFFFF"/>
                <w:sz w:val="17"/>
              </w:rPr>
              <w:t>Section of cover</w:t>
            </w:r>
          </w:p>
        </w:tc>
        <w:tc>
          <w:tcPr>
            <w:tcW w:type="dxa" w:w="964"/>
            <w:shd w:val="clear" w:color="auto" w:fill="00648B"/>
          </w:tcPr>
          <w:p>
            <w:pPr>
              <w:spacing w:after="20" w:before="0"/>
              <w:jc w:val="center"/>
            </w:pPr>
            <w:r/>
            <w:r>
              <w:rPr>
                <w:rFonts w:ascii="Lato" w:hAnsi="Lato" w:cs="Lato"/>
                <w:b/>
                <w:i w:val="0"/>
                <w:color w:val="FFFFFF"/>
                <w:sz w:val="17"/>
              </w:rPr>
              <w:t>TMHCC</w:t>
            </w:r>
          </w:p>
        </w:tc>
        <w:tc>
          <w:tcPr>
            <w:tcW w:type="dxa" w:w="964"/>
            <w:shd w:val="clear" w:color="auto" w:fill="00648B"/>
          </w:tcPr>
          <w:p>
            <w:pPr>
              <w:spacing w:after="20" w:before="0"/>
              <w:jc w:val="center"/>
            </w:pPr>
            <w:r/>
            <w:r>
              <w:rPr>
                <w:rFonts w:ascii="Lato" w:hAnsi="Lato" w:cs="Lato"/>
                <w:b/>
                <w:i w:val="0"/>
                <w:color w:val="FFFFFF"/>
                <w:sz w:val="17"/>
              </w:rPr>
              <w:t>Tysers</w:t>
            </w:r>
          </w:p>
          <w:p>
            <w:pPr>
              <w:spacing w:after="20" w:before="0"/>
              <w:jc w:val="center"/>
            </w:pPr>
            <w:r>
              <w:rPr>
                <w:rFonts w:ascii="Lato" w:hAnsi="Lato" w:cs="Lato"/>
                <w:b/>
                <w:i w:val="0"/>
                <w:color w:val="FFFFFF"/>
                <w:sz w:val="17"/>
              </w:rPr>
              <w:t>(Zurich)</w:t>
            </w:r>
          </w:p>
        </w:tc>
        <w:tc>
          <w:tcPr>
            <w:tcW w:type="dxa" w:w="964"/>
            <w:shd w:val="clear" w:color="auto" w:fill="00648B"/>
          </w:tcPr>
          <w:p>
            <w:pPr>
              <w:spacing w:after="20" w:before="0"/>
              <w:jc w:val="center"/>
            </w:pPr>
            <w:r/>
            <w:r>
              <w:rPr>
                <w:rFonts w:ascii="Lato" w:hAnsi="Lato" w:cs="Lato"/>
                <w:b/>
                <w:i w:val="0"/>
                <w:color w:val="FFFFFF"/>
                <w:sz w:val="17"/>
              </w:rPr>
              <w:t>Yutree</w:t>
            </w:r>
          </w:p>
          <w:p>
            <w:pPr>
              <w:spacing w:after="20" w:before="0"/>
              <w:jc w:val="center"/>
            </w:pPr>
            <w:r>
              <w:rPr>
                <w:rFonts w:ascii="Lato" w:hAnsi="Lato" w:cs="Lato"/>
                <w:b/>
                <w:i w:val="0"/>
                <w:color w:val="FFFFFF"/>
                <w:sz w:val="17"/>
              </w:rPr>
              <w:t>(AXA)</w:t>
            </w:r>
          </w:p>
        </w:tc>
        <w:tc>
          <w:tcPr>
            <w:tcW w:type="dxa" w:w="964"/>
            <w:shd w:val="clear" w:color="auto" w:fill="00648B"/>
          </w:tcPr>
          <w:p>
            <w:pPr>
              <w:spacing w:after="20" w:before="0"/>
              <w:jc w:val="center"/>
            </w:pPr>
            <w:r/>
            <w:r>
              <w:rPr>
                <w:rFonts w:ascii="Lato" w:hAnsi="Lato" w:cs="Lato"/>
                <w:b/>
                <w:i w:val="0"/>
                <w:color w:val="FFFFFF"/>
                <w:sz w:val="17"/>
              </w:rPr>
              <w:t>Liberty</w:t>
            </w:r>
          </w:p>
        </w:tc>
        <w:tc>
          <w:tcPr>
            <w:tcW w:type="dxa" w:w="964"/>
            <w:shd w:val="clear" w:color="auto" w:fill="00648B"/>
          </w:tcPr>
          <w:p>
            <w:pPr>
              <w:spacing w:after="20" w:before="0"/>
              <w:jc w:val="center"/>
            </w:pPr>
            <w:r/>
            <w:r>
              <w:rPr>
                <w:rFonts w:ascii="Lato" w:hAnsi="Lato" w:cs="Lato"/>
                <w:b/>
                <w:i w:val="0"/>
                <w:color w:val="FFFFFF"/>
                <w:sz w:val="17"/>
              </w:rPr>
              <w:t>Allianz</w:t>
            </w:r>
          </w:p>
        </w:tc>
        <w:tc>
          <w:tcPr>
            <w:tcW w:type="dxa" w:w="964"/>
            <w:shd w:val="clear" w:color="auto" w:fill="00648B"/>
          </w:tcPr>
          <w:p>
            <w:pPr>
              <w:spacing w:after="20" w:before="0"/>
              <w:jc w:val="center"/>
            </w:pPr>
            <w:r/>
            <w:r>
              <w:rPr>
                <w:rFonts w:ascii="Lato" w:hAnsi="Lato" w:cs="Lato"/>
                <w:b/>
                <w:i w:val="0"/>
                <w:color w:val="FFFFFF"/>
                <w:sz w:val="17"/>
              </w:rPr>
              <w:t>AXA XL</w:t>
            </w:r>
          </w:p>
        </w:tc>
        <w:tc>
          <w:tcPr>
            <w:tcW w:type="dxa" w:w="6123"/>
            <w:shd w:val="clear" w:color="auto" w:fill="00648B"/>
          </w:tcPr>
          <w:p>
            <w:pPr>
              <w:spacing w:after="20" w:before="0"/>
              <w:jc w:val="center"/>
            </w:pPr>
            <w:r/>
            <w:r>
              <w:rPr>
                <w:rFonts w:ascii="Lato" w:hAnsi="Lato" w:cs="Lato"/>
                <w:b/>
                <w:i w:val="0"/>
                <w:color w:val="FFFFFF"/>
                <w:sz w:val="17"/>
              </w:rPr>
              <w:t>What this means for you</w:t>
            </w:r>
          </w:p>
        </w:tc>
      </w:tr>
      <w:tr>
        <w:tc>
          <w:tcPr>
            <w:tcW w:type="dxa" w:w="2835"/>
          </w:tcPr>
          <w:p>
            <w:pPr>
              <w:spacing w:after="20" w:before="0"/>
            </w:pPr>
            <w:r/>
            <w:r>
              <w:rPr>
                <w:rFonts w:ascii="Lato" w:hAnsi="Lato" w:cs="Lato"/>
                <w:b/>
                <w:i w:val="0"/>
                <w:color w:val="00648B"/>
                <w:sz w:val="16"/>
              </w:rPr>
              <w:t>S1 · Business “All Risks” (premises buildings &amp; contents)</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6124"/>
          </w:tcPr>
          <w:p>
            <w:pPr>
              <w:spacing w:after="20"/>
            </w:pPr>
            <w:r/>
            <w:r>
              <w:rPr>
                <w:rFonts w:ascii="Lato" w:hAnsi="Lato" w:cs="Lato"/>
                <w:b w:val="0"/>
                <w:i w:val="0"/>
                <w:color w:val="2B2F33"/>
                <w:sz w:val="16"/>
              </w:rPr>
              <w:t>All six offer premises/contents material damage on an all-risks basis. Allianz, Liberty and AXA XL are property-led packages with granular MD specifications; TMHCC consolidates IT/premises cover here.</w:t>
            </w:r>
          </w:p>
        </w:tc>
      </w:tr>
      <w:tr>
        <w:tc>
          <w:tcPr>
            <w:tcW w:type="dxa" w:w="2835"/>
            <w:shd w:val="clear" w:color="auto" w:fill="F4F7F9"/>
          </w:tcPr>
          <w:p>
            <w:pPr>
              <w:spacing w:after="20" w:before="0"/>
            </w:pPr>
            <w:r/>
            <w:r>
              <w:rPr>
                <w:rFonts w:ascii="Lato" w:hAnsi="Lato" w:cs="Lato"/>
                <w:b/>
                <w:i w:val="0"/>
                <w:color w:val="00648B"/>
                <w:sz w:val="16"/>
              </w:rPr>
              <w:t>S2 · Property &amp; Equipment “All Risks” (production/entertainment equipment)</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FBF1DA"/>
          </w:tcPr>
          <w:p>
            <w:pPr>
              <w:spacing w:after="0" w:before="0"/>
              <w:jc w:val="center"/>
            </w:pPr>
            <w:r/>
            <w:r>
              <w:rPr>
                <w:rFonts w:ascii="Lato" w:hAnsi="Lato" w:cs="Lato"/>
                <w:b/>
                <w:i w:val="0"/>
                <w:color w:val="8A6A1E"/>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6124"/>
            <w:shd w:val="clear" w:color="auto" w:fill="F4F7F9"/>
          </w:tcPr>
          <w:p>
            <w:pPr>
              <w:spacing w:after="20"/>
            </w:pPr>
            <w:r/>
            <w:r>
              <w:rPr>
                <w:rFonts w:ascii="Lato" w:hAnsi="Lato" w:cs="Lato"/>
                <w:b w:val="0"/>
                <w:i w:val="0"/>
                <w:color w:val="2B2F33"/>
                <w:sz w:val="16"/>
              </w:rPr>
              <w:t>Owned and hired-in production/entertainment equipment. Tysers (Production Property), Yutree (Production property), Allianz (Specified All Risks), AXA XL (‘Technical Equipment’ within Material Damage). Liberty covers entertainment equipment via specified Schedule items.</w:t>
            </w:r>
          </w:p>
        </w:tc>
      </w:tr>
      <w:tr>
        <w:tc>
          <w:tcPr>
            <w:tcW w:type="dxa" w:w="2835"/>
          </w:tcPr>
          <w:p>
            <w:pPr>
              <w:spacing w:after="20" w:before="0"/>
            </w:pPr>
            <w:r/>
            <w:r>
              <w:rPr>
                <w:rFonts w:ascii="Lato" w:hAnsi="Lato" w:cs="Lato"/>
                <w:b/>
                <w:i w:val="0"/>
                <w:color w:val="00648B"/>
                <w:sz w:val="16"/>
              </w:rPr>
              <w:t>S3 · Business Interruption “All Risks”</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6124"/>
          </w:tcPr>
          <w:p>
            <w:pPr>
              <w:spacing w:after="20"/>
            </w:pPr>
            <w:r/>
            <w:r>
              <w:rPr>
                <w:rFonts w:ascii="Lato" w:hAnsi="Lato" w:cs="Lato"/>
                <w:b w:val="0"/>
                <w:i w:val="0"/>
                <w:color w:val="2B2F33"/>
                <w:sz w:val="16"/>
              </w:rPr>
              <w:t>All offer BI. Allianz is structurally broader (splits Increased Cost of Working and Book Debts into discrete sections). AXA XL has a full BI section (incl. Rent Receivable / Turnover). Confirm TMHCC S3 expressly covers ICOW/AICOW and book debts.</w:t>
            </w:r>
          </w:p>
        </w:tc>
      </w:tr>
      <w:tr>
        <w:tc>
          <w:tcPr>
            <w:tcW w:type="dxa" w:w="2835"/>
            <w:shd w:val="clear" w:color="auto" w:fill="F4F7F9"/>
          </w:tcPr>
          <w:p>
            <w:pPr>
              <w:spacing w:after="20" w:before="0"/>
            </w:pPr>
            <w:r/>
            <w:r>
              <w:rPr>
                <w:rFonts w:ascii="Lato" w:hAnsi="Lato" w:cs="Lato"/>
                <w:b/>
                <w:i w:val="0"/>
                <w:color w:val="00648B"/>
                <w:sz w:val="16"/>
              </w:rPr>
              <w:t>S4 · Terrorism</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FBE6EA"/>
          </w:tcPr>
          <w:p>
            <w:pPr>
              <w:spacing w:after="0" w:before="0"/>
              <w:jc w:val="center"/>
            </w:pPr>
            <w:r/>
            <w:r>
              <w:rPr>
                <w:rFonts w:ascii="Lato" w:hAnsi="Lato" w:cs="Lato"/>
                <w:b/>
                <w:i w:val="0"/>
                <w:color w:val="A4233B"/>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FBE6EA"/>
          </w:tcPr>
          <w:p>
            <w:pPr>
              <w:spacing w:after="0" w:before="0"/>
              <w:jc w:val="center"/>
            </w:pPr>
            <w:r/>
            <w:r>
              <w:rPr>
                <w:rFonts w:ascii="Lato" w:hAnsi="Lato" w:cs="Lato"/>
                <w:b/>
                <w:i w:val="0"/>
                <w:color w:val="A4233B"/>
                <w:sz w:val="21"/>
              </w:rPr>
              <w:t>✗</w:t>
            </w:r>
          </w:p>
        </w:tc>
        <w:tc>
          <w:tcPr>
            <w:tcW w:type="dxa" w:w="6124"/>
            <w:shd w:val="clear" w:color="auto" w:fill="F4F7F9"/>
          </w:tcPr>
          <w:p>
            <w:pPr>
              <w:spacing w:after="20"/>
            </w:pPr>
            <w:r/>
            <w:r>
              <w:rPr>
                <w:rFonts w:ascii="Lato" w:hAnsi="Lato" w:cs="Lato"/>
                <w:b w:val="0"/>
                <w:i w:val="0"/>
                <w:color w:val="2B2F33"/>
                <w:sz w:val="16"/>
              </w:rPr>
              <w:t>TMHCC, Yutree, Liberty and Allianz provide terrorism cover. Tysers EXCLUDES terrorism (no buy-back). AXA XL EXCLUDES terrorism absolutely (Policy Exclusion 3.4, ex-Employers’ Liability) — client would need standalone Pool Re.</w:t>
            </w:r>
          </w:p>
        </w:tc>
      </w:tr>
      <w:tr>
        <w:tc>
          <w:tcPr>
            <w:tcW w:type="dxa" w:w="2835"/>
          </w:tcPr>
          <w:p>
            <w:pPr>
              <w:spacing w:after="20" w:before="0"/>
            </w:pPr>
            <w:r/>
            <w:r>
              <w:rPr>
                <w:rFonts w:ascii="Lato" w:hAnsi="Lato" w:cs="Lato"/>
                <w:b/>
                <w:i w:val="0"/>
                <w:color w:val="00648B"/>
                <w:sz w:val="16"/>
              </w:rPr>
              <w:t>S5 · Employers’ Liability</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6124"/>
          </w:tcPr>
          <w:p>
            <w:pPr>
              <w:spacing w:after="20"/>
            </w:pPr>
            <w:r/>
            <w:r>
              <w:rPr>
                <w:rFonts w:ascii="Lato" w:hAnsi="Lato" w:cs="Lato"/>
                <w:b w:val="0"/>
                <w:i w:val="0"/>
                <w:color w:val="2B2F33"/>
                <w:sz w:val="16"/>
              </w:rPr>
              <w:t>Statutory EL provided by all six (typically GBP 10m). Broadly equivalent. AXA XL = sub-section 7C.</w:t>
            </w:r>
          </w:p>
        </w:tc>
      </w:tr>
      <w:tr>
        <w:tc>
          <w:tcPr>
            <w:tcW w:type="dxa" w:w="2835"/>
            <w:shd w:val="clear" w:color="auto" w:fill="F4F7F9"/>
          </w:tcPr>
          <w:p>
            <w:pPr>
              <w:spacing w:after="20" w:before="0"/>
            </w:pPr>
            <w:r/>
            <w:r>
              <w:rPr>
                <w:rFonts w:ascii="Lato" w:hAnsi="Lato" w:cs="Lato"/>
                <w:b/>
                <w:i w:val="0"/>
                <w:color w:val="00648B"/>
                <w:sz w:val="16"/>
              </w:rPr>
              <w:t>S6 · Public Liability</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6124"/>
            <w:shd w:val="clear" w:color="auto" w:fill="F4F7F9"/>
          </w:tcPr>
          <w:p>
            <w:pPr>
              <w:spacing w:after="20"/>
            </w:pPr>
            <w:r/>
            <w:r>
              <w:rPr>
                <w:rFonts w:ascii="Lato" w:hAnsi="Lato" w:cs="Lato"/>
                <w:b w:val="0"/>
                <w:i w:val="0"/>
                <w:color w:val="2B2F33"/>
                <w:sz w:val="16"/>
              </w:rPr>
              <w:t>Provided by all. Competitors combine Public &amp; Products; TMHCC splits Public (S6) and Products (S7). AXA XL = sub-section 7A.</w:t>
            </w:r>
          </w:p>
        </w:tc>
      </w:tr>
      <w:tr>
        <w:tc>
          <w:tcPr>
            <w:tcW w:type="dxa" w:w="2835"/>
          </w:tcPr>
          <w:p>
            <w:pPr>
              <w:spacing w:after="20" w:before="0"/>
            </w:pPr>
            <w:r/>
            <w:r>
              <w:rPr>
                <w:rFonts w:ascii="Lato" w:hAnsi="Lato" w:cs="Lato"/>
                <w:b/>
                <w:i w:val="0"/>
                <w:color w:val="00648B"/>
                <w:sz w:val="16"/>
              </w:rPr>
              <w:t>S7 · Products Liability</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6124"/>
          </w:tcPr>
          <w:p>
            <w:pPr>
              <w:spacing w:after="20"/>
            </w:pPr>
            <w:r/>
            <w:r>
              <w:rPr>
                <w:rFonts w:ascii="Lato" w:hAnsi="Lato" w:cs="Lato"/>
                <w:b w:val="0"/>
                <w:i w:val="0"/>
                <w:color w:val="2B2F33"/>
                <w:sz w:val="16"/>
              </w:rPr>
              <w:t>Provided by all (combined with Public in the competitor wordings). AXA XL = sub-section 7B.</w:t>
            </w:r>
          </w:p>
        </w:tc>
      </w:tr>
      <w:tr>
        <w:tc>
          <w:tcPr>
            <w:tcW w:type="dxa" w:w="2835"/>
            <w:shd w:val="clear" w:color="auto" w:fill="F4F7F9"/>
          </w:tcPr>
          <w:p>
            <w:pPr>
              <w:spacing w:after="20" w:before="0"/>
            </w:pPr>
            <w:r/>
            <w:r>
              <w:rPr>
                <w:rFonts w:ascii="Lato" w:hAnsi="Lato" w:cs="Lato"/>
                <w:b/>
                <w:i w:val="0"/>
                <w:color w:val="00648B"/>
                <w:sz w:val="16"/>
              </w:rPr>
              <w:t>S8 · Money</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FBF1DA"/>
          </w:tcPr>
          <w:p>
            <w:pPr>
              <w:spacing w:after="0" w:before="0"/>
              <w:jc w:val="center"/>
            </w:pPr>
            <w:r/>
            <w:r>
              <w:rPr>
                <w:rFonts w:ascii="Lato" w:hAnsi="Lato" w:cs="Lato"/>
                <w:b/>
                <w:i w:val="0"/>
                <w:color w:val="8A6A1E"/>
                <w:sz w:val="21"/>
              </w:rPr>
              <w:t>◐</w:t>
            </w:r>
          </w:p>
        </w:tc>
        <w:tc>
          <w:tcPr>
            <w:tcW w:type="dxa" w:w="6124"/>
            <w:shd w:val="clear" w:color="auto" w:fill="F4F7F9"/>
          </w:tcPr>
          <w:p>
            <w:pPr>
              <w:spacing w:after="20"/>
            </w:pPr>
            <w:r/>
            <w:r>
              <w:rPr>
                <w:rFonts w:ascii="Lato" w:hAnsi="Lato" w:cs="Lato"/>
                <w:b w:val="0"/>
                <w:i w:val="0"/>
                <w:color w:val="2B2F33"/>
                <w:sz w:val="16"/>
              </w:rPr>
              <w:t>Money cover provided by all. AXA XL provides Money as a sub-limited ‘Money’ specification WITHIN the Material Damage section (schedule-driven) rather than a standalone section.</w:t>
            </w:r>
          </w:p>
        </w:tc>
      </w:tr>
      <w:tr>
        <w:tc>
          <w:tcPr>
            <w:tcW w:type="dxa" w:w="2835"/>
          </w:tcPr>
          <w:p>
            <w:pPr>
              <w:spacing w:after="20" w:before="0"/>
            </w:pPr>
            <w:r/>
            <w:r>
              <w:rPr>
                <w:rFonts w:ascii="Lato" w:hAnsi="Lato" w:cs="Lato"/>
                <w:b/>
                <w:i w:val="0"/>
                <w:color w:val="00648B"/>
                <w:sz w:val="16"/>
              </w:rPr>
              <w:t>S9 · Goods in Transit</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FBE6EA"/>
          </w:tcPr>
          <w:p>
            <w:pPr>
              <w:spacing w:after="0" w:before="0"/>
              <w:jc w:val="center"/>
            </w:pPr>
            <w:r/>
            <w:r>
              <w:rPr>
                <w:rFonts w:ascii="Lato" w:hAnsi="Lato" w:cs="Lato"/>
                <w:b/>
                <w:i w:val="0"/>
                <w:color w:val="A4233B"/>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FBE6EA"/>
          </w:tcPr>
          <w:p>
            <w:pPr>
              <w:spacing w:after="0" w:before="0"/>
              <w:jc w:val="center"/>
            </w:pPr>
            <w:r/>
            <w:r>
              <w:rPr>
                <w:rFonts w:ascii="Lato" w:hAnsi="Lato" w:cs="Lato"/>
                <w:b/>
                <w:i w:val="0"/>
                <w:color w:val="A4233B"/>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FBE6EA"/>
          </w:tcPr>
          <w:p>
            <w:pPr>
              <w:spacing w:after="0" w:before="0"/>
              <w:jc w:val="center"/>
            </w:pPr>
            <w:r/>
            <w:r>
              <w:rPr>
                <w:rFonts w:ascii="Lato" w:hAnsi="Lato" w:cs="Lato"/>
                <w:b/>
                <w:i w:val="0"/>
                <w:color w:val="A4233B"/>
                <w:sz w:val="21"/>
              </w:rPr>
              <w:t>✗</w:t>
            </w:r>
          </w:p>
        </w:tc>
        <w:tc>
          <w:tcPr>
            <w:tcW w:type="dxa" w:w="6124"/>
          </w:tcPr>
          <w:p>
            <w:pPr>
              <w:spacing w:after="20"/>
            </w:pPr>
            <w:r/>
            <w:r>
              <w:rPr>
                <w:rFonts w:ascii="Lato" w:hAnsi="Lato" w:cs="Lato"/>
                <w:b w:val="0"/>
                <w:i w:val="0"/>
                <w:color w:val="2B2F33"/>
                <w:sz w:val="16"/>
              </w:rPr>
              <w:t>TMHCC, Yutree (GIT section) and Allianz (Own Goods in Transit) provide GIT. Tysers, Liberty and AXA XL do NOT have a dedicated GIT section.</w:t>
            </w:r>
          </w:p>
        </w:tc>
      </w:tr>
      <w:tr>
        <w:tc>
          <w:tcPr>
            <w:tcW w:type="dxa" w:w="2835"/>
            <w:shd w:val="clear" w:color="auto" w:fill="F4F7F9"/>
          </w:tcPr>
          <w:p>
            <w:pPr>
              <w:spacing w:after="20" w:before="0"/>
            </w:pPr>
            <w:r/>
            <w:r>
              <w:rPr>
                <w:rFonts w:ascii="Lato" w:hAnsi="Lato" w:cs="Lato"/>
                <w:b/>
                <w:i w:val="0"/>
                <w:color w:val="00648B"/>
                <w:sz w:val="16"/>
              </w:rPr>
              <w:t>S10 · Loss of Licence</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FBE6EA"/>
          </w:tcPr>
          <w:p>
            <w:pPr>
              <w:spacing w:after="0" w:before="0"/>
              <w:jc w:val="center"/>
            </w:pPr>
            <w:r/>
            <w:r>
              <w:rPr>
                <w:rFonts w:ascii="Lato" w:hAnsi="Lato" w:cs="Lato"/>
                <w:b/>
                <w:i w:val="0"/>
                <w:color w:val="A4233B"/>
                <w:sz w:val="21"/>
              </w:rPr>
              <w:t>✗</w:t>
            </w:r>
          </w:p>
        </w:tc>
        <w:tc>
          <w:tcPr>
            <w:tcW w:type="dxa" w:w="964"/>
            <w:shd w:val="clear" w:color="auto" w:fill="FBE6EA"/>
          </w:tcPr>
          <w:p>
            <w:pPr>
              <w:spacing w:after="0" w:before="0"/>
              <w:jc w:val="center"/>
            </w:pPr>
            <w:r/>
            <w:r>
              <w:rPr>
                <w:rFonts w:ascii="Lato" w:hAnsi="Lato" w:cs="Lato"/>
                <w:b/>
                <w:i w:val="0"/>
                <w:color w:val="A4233B"/>
                <w:sz w:val="21"/>
              </w:rPr>
              <w:t>✗</w:t>
            </w:r>
          </w:p>
        </w:tc>
        <w:tc>
          <w:tcPr>
            <w:tcW w:type="dxa" w:w="964"/>
            <w:shd w:val="clear" w:color="auto" w:fill="FBE6EA"/>
          </w:tcPr>
          <w:p>
            <w:pPr>
              <w:spacing w:after="0" w:before="0"/>
              <w:jc w:val="center"/>
            </w:pPr>
            <w:r/>
            <w:r>
              <w:rPr>
                <w:rFonts w:ascii="Lato" w:hAnsi="Lato" w:cs="Lato"/>
                <w:b/>
                <w:i w:val="0"/>
                <w:color w:val="A4233B"/>
                <w:sz w:val="21"/>
              </w:rPr>
              <w:t>✗</w:t>
            </w:r>
          </w:p>
        </w:tc>
        <w:tc>
          <w:tcPr>
            <w:tcW w:type="dxa" w:w="964"/>
            <w:shd w:val="clear" w:color="auto" w:fill="FBE6EA"/>
          </w:tcPr>
          <w:p>
            <w:pPr>
              <w:spacing w:after="0" w:before="0"/>
              <w:jc w:val="center"/>
            </w:pPr>
            <w:r/>
            <w:r>
              <w:rPr>
                <w:rFonts w:ascii="Lato" w:hAnsi="Lato" w:cs="Lato"/>
                <w:b/>
                <w:i w:val="0"/>
                <w:color w:val="A4233B"/>
                <w:sz w:val="21"/>
              </w:rPr>
              <w:t>✗</w:t>
            </w:r>
          </w:p>
        </w:tc>
        <w:tc>
          <w:tcPr>
            <w:tcW w:type="dxa" w:w="964"/>
            <w:shd w:val="clear" w:color="auto" w:fill="FBE6EA"/>
          </w:tcPr>
          <w:p>
            <w:pPr>
              <w:spacing w:after="0" w:before="0"/>
              <w:jc w:val="center"/>
            </w:pPr>
            <w:r/>
            <w:r>
              <w:rPr>
                <w:rFonts w:ascii="Lato" w:hAnsi="Lato" w:cs="Lato"/>
                <w:b/>
                <w:i w:val="0"/>
                <w:color w:val="A4233B"/>
                <w:sz w:val="21"/>
              </w:rPr>
              <w:t>✗</w:t>
            </w:r>
          </w:p>
        </w:tc>
        <w:tc>
          <w:tcPr>
            <w:tcW w:type="dxa" w:w="6124"/>
            <w:shd w:val="clear" w:color="auto" w:fill="F4F7F9"/>
          </w:tcPr>
          <w:p>
            <w:pPr>
              <w:spacing w:after="20"/>
            </w:pPr>
            <w:r/>
            <w:r>
              <w:rPr>
                <w:rFonts w:ascii="Lato" w:hAnsi="Lato" w:cs="Lato"/>
                <w:b w:val="0"/>
                <w:i w:val="0"/>
                <w:color w:val="2B2F33"/>
                <w:sz w:val="16"/>
              </w:rPr>
              <w:t>UNIQUE to TMHCC across all five competitors. Premises-licence loss cover under the Licensing Act 2003 — highly relevant for venues/festivals.</w:t>
            </w:r>
          </w:p>
        </w:tc>
      </w:tr>
      <w:tr>
        <w:tc>
          <w:tcPr>
            <w:tcW w:type="dxa" w:w="2835"/>
          </w:tcPr>
          <w:p>
            <w:pPr>
              <w:spacing w:after="20" w:before="0"/>
            </w:pPr>
            <w:r/>
            <w:r>
              <w:rPr>
                <w:rFonts w:ascii="Lato" w:hAnsi="Lato" w:cs="Lato"/>
                <w:b/>
                <w:i w:val="0"/>
                <w:color w:val="00648B"/>
                <w:sz w:val="16"/>
              </w:rPr>
              <w:t>S11 · Production Indemnity “All Risks”</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FBE6EA"/>
          </w:tcPr>
          <w:p>
            <w:pPr>
              <w:spacing w:after="0" w:before="0"/>
              <w:jc w:val="center"/>
            </w:pPr>
            <w:r/>
            <w:r>
              <w:rPr>
                <w:rFonts w:ascii="Lato" w:hAnsi="Lato" w:cs="Lato"/>
                <w:b/>
                <w:i w:val="0"/>
                <w:color w:val="A4233B"/>
                <w:sz w:val="21"/>
              </w:rPr>
              <w:t>✗</w:t>
            </w:r>
          </w:p>
        </w:tc>
        <w:tc>
          <w:tcPr>
            <w:tcW w:type="dxa" w:w="964"/>
            <w:shd w:val="clear" w:color="auto" w:fill="FBE6EA"/>
          </w:tcPr>
          <w:p>
            <w:pPr>
              <w:spacing w:after="0" w:before="0"/>
              <w:jc w:val="center"/>
            </w:pPr>
            <w:r/>
            <w:r>
              <w:rPr>
                <w:rFonts w:ascii="Lato" w:hAnsi="Lato" w:cs="Lato"/>
                <w:b/>
                <w:i w:val="0"/>
                <w:color w:val="A4233B"/>
                <w:sz w:val="21"/>
              </w:rPr>
              <w:t>✗</w:t>
            </w:r>
          </w:p>
        </w:tc>
        <w:tc>
          <w:tcPr>
            <w:tcW w:type="dxa" w:w="964"/>
            <w:shd w:val="clear" w:color="auto" w:fill="FBE6EA"/>
          </w:tcPr>
          <w:p>
            <w:pPr>
              <w:spacing w:after="0" w:before="0"/>
              <w:jc w:val="center"/>
            </w:pPr>
            <w:r/>
            <w:r>
              <w:rPr>
                <w:rFonts w:ascii="Lato" w:hAnsi="Lato" w:cs="Lato"/>
                <w:b/>
                <w:i w:val="0"/>
                <w:color w:val="A4233B"/>
                <w:sz w:val="21"/>
              </w:rPr>
              <w:t>✗</w:t>
            </w:r>
          </w:p>
        </w:tc>
        <w:tc>
          <w:tcPr>
            <w:tcW w:type="dxa" w:w="6124"/>
          </w:tcPr>
          <w:p>
            <w:pPr>
              <w:spacing w:after="20"/>
            </w:pPr>
            <w:r/>
            <w:r>
              <w:rPr>
                <w:rFonts w:ascii="Lato" w:hAnsi="Lato" w:cs="Lato"/>
                <w:b w:val="0"/>
                <w:i w:val="0"/>
                <w:color w:val="2B2F33"/>
                <w:sz w:val="16"/>
              </w:rPr>
              <w:t>TMHCC, Tysers (Multimedia &amp; Producers Indemnity) and Yutree (Production Indemnity) cover production costs / cast / negatives. Liberty, Allianz and AXA XL do NOT offer production indemnity.</w:t>
            </w:r>
          </w:p>
        </w:tc>
      </w:tr>
      <w:tr>
        <w:tc>
          <w:tcPr>
            <w:tcW w:type="dxa" w:w="2835"/>
            <w:shd w:val="clear" w:color="auto" w:fill="F4F7F9"/>
          </w:tcPr>
          <w:p>
            <w:pPr>
              <w:spacing w:after="20" w:before="0"/>
            </w:pPr>
            <w:r/>
            <w:r>
              <w:rPr>
                <w:rFonts w:ascii="Lato" w:hAnsi="Lato" w:cs="Lato"/>
                <w:b/>
                <w:i w:val="0"/>
                <w:color w:val="00648B"/>
                <w:sz w:val="16"/>
              </w:rPr>
              <w:t>S12 · Media Liability / Professional Indemnity (E&amp;O)</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FBE6EA"/>
          </w:tcPr>
          <w:p>
            <w:pPr>
              <w:spacing w:after="0" w:before="0"/>
              <w:jc w:val="center"/>
            </w:pPr>
            <w:r/>
            <w:r>
              <w:rPr>
                <w:rFonts w:ascii="Lato" w:hAnsi="Lato" w:cs="Lato"/>
                <w:b/>
                <w:i w:val="0"/>
                <w:color w:val="A4233B"/>
                <w:sz w:val="21"/>
              </w:rPr>
              <w:t>✗</w:t>
            </w:r>
          </w:p>
        </w:tc>
        <w:tc>
          <w:tcPr>
            <w:tcW w:type="dxa" w:w="964"/>
            <w:shd w:val="clear" w:color="auto" w:fill="FBE6EA"/>
          </w:tcPr>
          <w:p>
            <w:pPr>
              <w:spacing w:after="0" w:before="0"/>
              <w:jc w:val="center"/>
            </w:pPr>
            <w:r/>
            <w:r>
              <w:rPr>
                <w:rFonts w:ascii="Lato" w:hAnsi="Lato" w:cs="Lato"/>
                <w:b/>
                <w:i w:val="0"/>
                <w:color w:val="A4233B"/>
                <w:sz w:val="21"/>
              </w:rPr>
              <w:t>✗</w:t>
            </w:r>
          </w:p>
        </w:tc>
        <w:tc>
          <w:tcPr>
            <w:tcW w:type="dxa" w:w="964"/>
            <w:shd w:val="clear" w:color="auto" w:fill="FBE6EA"/>
          </w:tcPr>
          <w:p>
            <w:pPr>
              <w:spacing w:after="0" w:before="0"/>
              <w:jc w:val="center"/>
            </w:pPr>
            <w:r/>
            <w:r>
              <w:rPr>
                <w:rFonts w:ascii="Lato" w:hAnsi="Lato" w:cs="Lato"/>
                <w:b/>
                <w:i w:val="0"/>
                <w:color w:val="A4233B"/>
                <w:sz w:val="21"/>
              </w:rPr>
              <w:t>✗</w:t>
            </w:r>
          </w:p>
        </w:tc>
        <w:tc>
          <w:tcPr>
            <w:tcW w:type="dxa" w:w="6124"/>
            <w:shd w:val="clear" w:color="auto" w:fill="F4F7F9"/>
          </w:tcPr>
          <w:p>
            <w:pPr>
              <w:spacing w:after="20"/>
            </w:pPr>
            <w:r/>
            <w:r>
              <w:rPr>
                <w:rFonts w:ascii="Lato" w:hAnsi="Lato" w:cs="Lato"/>
                <w:b w:val="0"/>
                <w:i w:val="0"/>
                <w:color w:val="2B2F33"/>
                <w:sz w:val="16"/>
              </w:rPr>
              <w:t>The heart of a media wording. TMHCC (S12), Tysers (PI/E&amp;O) and Yutree (PI-Media + PI-Events) provide it. Liberty, Allianz and AXA XL provide NO media/PI/E&amp;O cover — despite AXA XL’s ‘Media &amp; Entertainment’ branding.</w:t>
            </w:r>
          </w:p>
        </w:tc>
      </w:tr>
      <w:tr>
        <w:tc>
          <w:tcPr>
            <w:tcW w:type="dxa" w:w="2835"/>
          </w:tcPr>
          <w:p>
            <w:pPr>
              <w:spacing w:after="20" w:before="0"/>
            </w:pPr>
            <w:r/>
            <w:r>
              <w:rPr>
                <w:rFonts w:ascii="Lato" w:hAnsi="Lato" w:cs="Lato"/>
                <w:b/>
                <w:i w:val="0"/>
                <w:color w:val="00648B"/>
                <w:sz w:val="16"/>
              </w:rPr>
              <w:t>S13 · Commercial Legal Expenses</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FBE6EA"/>
          </w:tcPr>
          <w:p>
            <w:pPr>
              <w:spacing w:after="0" w:before="0"/>
              <w:jc w:val="center"/>
            </w:pPr>
            <w:r/>
            <w:r>
              <w:rPr>
                <w:rFonts w:ascii="Lato" w:hAnsi="Lato" w:cs="Lato"/>
                <w:b/>
                <w:i w:val="0"/>
                <w:color w:val="A4233B"/>
                <w:sz w:val="21"/>
              </w:rPr>
              <w:t>✗</w:t>
            </w:r>
          </w:p>
        </w:tc>
        <w:tc>
          <w:tcPr>
            <w:tcW w:type="dxa" w:w="964"/>
            <w:shd w:val="clear" w:color="auto" w:fill="FBE6EA"/>
          </w:tcPr>
          <w:p>
            <w:pPr>
              <w:spacing w:after="0" w:before="0"/>
              <w:jc w:val="center"/>
            </w:pPr>
            <w:r/>
            <w:r>
              <w:rPr>
                <w:rFonts w:ascii="Lato" w:hAnsi="Lato" w:cs="Lato"/>
                <w:b/>
                <w:i w:val="0"/>
                <w:color w:val="A4233B"/>
                <w:sz w:val="21"/>
              </w:rPr>
              <w:t>✗</w:t>
            </w:r>
          </w:p>
        </w:tc>
        <w:tc>
          <w:tcPr>
            <w:tcW w:type="dxa" w:w="964"/>
            <w:shd w:val="clear" w:color="auto" w:fill="FBE6EA"/>
          </w:tcPr>
          <w:p>
            <w:pPr>
              <w:spacing w:after="0" w:before="0"/>
              <w:jc w:val="center"/>
            </w:pPr>
            <w:r/>
            <w:r>
              <w:rPr>
                <w:rFonts w:ascii="Lato" w:hAnsi="Lato" w:cs="Lato"/>
                <w:b/>
                <w:i w:val="0"/>
                <w:color w:val="A4233B"/>
                <w:sz w:val="21"/>
              </w:rPr>
              <w:t>✗</w:t>
            </w:r>
          </w:p>
        </w:tc>
        <w:tc>
          <w:tcPr>
            <w:tcW w:type="dxa" w:w="964"/>
            <w:shd w:val="clear" w:color="auto" w:fill="FBE6EA"/>
          </w:tcPr>
          <w:p>
            <w:pPr>
              <w:spacing w:after="0" w:before="0"/>
              <w:jc w:val="center"/>
            </w:pPr>
            <w:r/>
            <w:r>
              <w:rPr>
                <w:rFonts w:ascii="Lato" w:hAnsi="Lato" w:cs="Lato"/>
                <w:b/>
                <w:i w:val="0"/>
                <w:color w:val="A4233B"/>
                <w:sz w:val="21"/>
              </w:rPr>
              <w:t>✗</w:t>
            </w:r>
          </w:p>
        </w:tc>
        <w:tc>
          <w:tcPr>
            <w:tcW w:type="dxa" w:w="964"/>
            <w:shd w:val="clear" w:color="auto" w:fill="FBE6EA"/>
          </w:tcPr>
          <w:p>
            <w:pPr>
              <w:spacing w:after="0" w:before="0"/>
              <w:jc w:val="center"/>
            </w:pPr>
            <w:r/>
            <w:r>
              <w:rPr>
                <w:rFonts w:ascii="Lato" w:hAnsi="Lato" w:cs="Lato"/>
                <w:b/>
                <w:i w:val="0"/>
                <w:color w:val="A4233B"/>
                <w:sz w:val="21"/>
              </w:rPr>
              <w:t>✗</w:t>
            </w:r>
          </w:p>
        </w:tc>
        <w:tc>
          <w:tcPr>
            <w:tcW w:type="dxa" w:w="6124"/>
          </w:tcPr>
          <w:p>
            <w:pPr>
              <w:spacing w:after="20"/>
            </w:pPr>
            <w:r/>
            <w:r>
              <w:rPr>
                <w:rFonts w:ascii="Lato" w:hAnsi="Lato" w:cs="Lato"/>
                <w:b w:val="0"/>
                <w:i w:val="0"/>
                <w:color w:val="2B2F33"/>
                <w:sz w:val="16"/>
              </w:rPr>
              <w:t>UNIQUE to TMHCC (ARAG-style legal expenses). No competitor wording includes a legal-expenses section.</w:t>
            </w:r>
          </w:p>
        </w:tc>
      </w:tr>
      <w:tr>
        <w:tc>
          <w:tcPr>
            <w:tcW w:type="dxa" w:w="2835"/>
            <w:shd w:val="clear" w:color="auto" w:fill="F4F7F9"/>
          </w:tcPr>
          <w:p>
            <w:pPr>
              <w:spacing w:after="20" w:before="0"/>
            </w:pPr>
            <w:r/>
            <w:r>
              <w:rPr>
                <w:rFonts w:ascii="Lato" w:hAnsi="Lato" w:cs="Lato"/>
                <w:b/>
                <w:i w:val="0"/>
                <w:color w:val="00648B"/>
                <w:sz w:val="16"/>
              </w:rPr>
              <w:t>S14 · Management Liability (D&amp;O / EPL etc.)</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FBE6EA"/>
          </w:tcPr>
          <w:p>
            <w:pPr>
              <w:spacing w:after="0" w:before="0"/>
              <w:jc w:val="center"/>
            </w:pPr>
            <w:r/>
            <w:r>
              <w:rPr>
                <w:rFonts w:ascii="Lato" w:hAnsi="Lato" w:cs="Lato"/>
                <w:b/>
                <w:i w:val="0"/>
                <w:color w:val="A4233B"/>
                <w:sz w:val="21"/>
              </w:rPr>
              <w:t>✗</w:t>
            </w:r>
          </w:p>
        </w:tc>
        <w:tc>
          <w:tcPr>
            <w:tcW w:type="dxa" w:w="964"/>
            <w:shd w:val="clear" w:color="auto" w:fill="FBE6EA"/>
          </w:tcPr>
          <w:p>
            <w:pPr>
              <w:spacing w:after="0" w:before="0"/>
              <w:jc w:val="center"/>
            </w:pPr>
            <w:r/>
            <w:r>
              <w:rPr>
                <w:rFonts w:ascii="Lato" w:hAnsi="Lato" w:cs="Lato"/>
                <w:b/>
                <w:i w:val="0"/>
                <w:color w:val="A4233B"/>
                <w:sz w:val="21"/>
              </w:rPr>
              <w:t>✗</w:t>
            </w:r>
          </w:p>
        </w:tc>
        <w:tc>
          <w:tcPr>
            <w:tcW w:type="dxa" w:w="964"/>
            <w:shd w:val="clear" w:color="auto" w:fill="FBE6EA"/>
          </w:tcPr>
          <w:p>
            <w:pPr>
              <w:spacing w:after="0" w:before="0"/>
              <w:jc w:val="center"/>
            </w:pPr>
            <w:r/>
            <w:r>
              <w:rPr>
                <w:rFonts w:ascii="Lato" w:hAnsi="Lato" w:cs="Lato"/>
                <w:b/>
                <w:i w:val="0"/>
                <w:color w:val="A4233B"/>
                <w:sz w:val="21"/>
              </w:rPr>
              <w:t>✗</w:t>
            </w:r>
          </w:p>
        </w:tc>
        <w:tc>
          <w:tcPr>
            <w:tcW w:type="dxa" w:w="964"/>
            <w:shd w:val="clear" w:color="auto" w:fill="FBE6EA"/>
          </w:tcPr>
          <w:p>
            <w:pPr>
              <w:spacing w:after="0" w:before="0"/>
              <w:jc w:val="center"/>
            </w:pPr>
            <w:r/>
            <w:r>
              <w:rPr>
                <w:rFonts w:ascii="Lato" w:hAnsi="Lato" w:cs="Lato"/>
                <w:b/>
                <w:i w:val="0"/>
                <w:color w:val="A4233B"/>
                <w:sz w:val="21"/>
              </w:rPr>
              <w:t>✗</w:t>
            </w:r>
          </w:p>
        </w:tc>
        <w:tc>
          <w:tcPr>
            <w:tcW w:type="dxa" w:w="964"/>
            <w:shd w:val="clear" w:color="auto" w:fill="FBE6EA"/>
          </w:tcPr>
          <w:p>
            <w:pPr>
              <w:spacing w:after="0" w:before="0"/>
              <w:jc w:val="center"/>
            </w:pPr>
            <w:r/>
            <w:r>
              <w:rPr>
                <w:rFonts w:ascii="Lato" w:hAnsi="Lato" w:cs="Lato"/>
                <w:b/>
                <w:i w:val="0"/>
                <w:color w:val="A4233B"/>
                <w:sz w:val="21"/>
              </w:rPr>
              <w:t>✗</w:t>
            </w:r>
          </w:p>
        </w:tc>
        <w:tc>
          <w:tcPr>
            <w:tcW w:type="dxa" w:w="6124"/>
            <w:shd w:val="clear" w:color="auto" w:fill="F4F7F9"/>
          </w:tcPr>
          <w:p>
            <w:pPr>
              <w:spacing w:after="20"/>
            </w:pPr>
            <w:r/>
            <w:r>
              <w:rPr>
                <w:rFonts w:ascii="Lato" w:hAnsi="Lato" w:cs="Lato"/>
                <w:b w:val="0"/>
                <w:i w:val="0"/>
                <w:color w:val="2B2F33"/>
                <w:sz w:val="16"/>
              </w:rPr>
              <w:t>UNIQUE to TMHCC. No competitor wording includes management-liability cover.</w:t>
            </w:r>
          </w:p>
        </w:tc>
      </w:tr>
      <w:tr>
        <w:tc>
          <w:tcPr>
            <w:tcW w:type="dxa" w:w="2835"/>
          </w:tcPr>
          <w:p>
            <w:pPr>
              <w:spacing w:after="20" w:before="0"/>
            </w:pPr>
            <w:r/>
            <w:r>
              <w:rPr>
                <w:rFonts w:ascii="Lato" w:hAnsi="Lato" w:cs="Lato"/>
                <w:b/>
                <w:i w:val="0"/>
                <w:color w:val="00648B"/>
                <w:sz w:val="16"/>
              </w:rPr>
              <w:t>S15 · Cyber Liability (standalone)</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FBE6EA"/>
          </w:tcPr>
          <w:p>
            <w:pPr>
              <w:spacing w:after="0" w:before="0"/>
              <w:jc w:val="center"/>
            </w:pPr>
            <w:r/>
            <w:r>
              <w:rPr>
                <w:rFonts w:ascii="Lato" w:hAnsi="Lato" w:cs="Lato"/>
                <w:b/>
                <w:i w:val="0"/>
                <w:color w:val="A4233B"/>
                <w:sz w:val="21"/>
              </w:rPr>
              <w:t>✗</w:t>
            </w:r>
          </w:p>
        </w:tc>
        <w:tc>
          <w:tcPr>
            <w:tcW w:type="dxa" w:w="964"/>
            <w:shd w:val="clear" w:color="auto" w:fill="FBF1DA"/>
          </w:tcPr>
          <w:p>
            <w:pPr>
              <w:spacing w:after="0" w:before="0"/>
              <w:jc w:val="center"/>
            </w:pPr>
            <w:r/>
            <w:r>
              <w:rPr>
                <w:rFonts w:ascii="Lato" w:hAnsi="Lato" w:cs="Lato"/>
                <w:b/>
                <w:i w:val="0"/>
                <w:color w:val="8A6A1E"/>
                <w:sz w:val="21"/>
              </w:rPr>
              <w:t>◐</w:t>
            </w:r>
          </w:p>
        </w:tc>
        <w:tc>
          <w:tcPr>
            <w:tcW w:type="dxa" w:w="964"/>
            <w:shd w:val="clear" w:color="auto" w:fill="FBE6EA"/>
          </w:tcPr>
          <w:p>
            <w:pPr>
              <w:spacing w:after="0" w:before="0"/>
              <w:jc w:val="center"/>
            </w:pPr>
            <w:r/>
            <w:r>
              <w:rPr>
                <w:rFonts w:ascii="Lato" w:hAnsi="Lato" w:cs="Lato"/>
                <w:b/>
                <w:i w:val="0"/>
                <w:color w:val="A4233B"/>
                <w:sz w:val="21"/>
              </w:rPr>
              <w:t>✗</w:t>
            </w:r>
          </w:p>
        </w:tc>
        <w:tc>
          <w:tcPr>
            <w:tcW w:type="dxa" w:w="964"/>
            <w:shd w:val="clear" w:color="auto" w:fill="FBE6EA"/>
          </w:tcPr>
          <w:p>
            <w:pPr>
              <w:spacing w:after="0" w:before="0"/>
              <w:jc w:val="center"/>
            </w:pPr>
            <w:r/>
            <w:r>
              <w:rPr>
                <w:rFonts w:ascii="Lato" w:hAnsi="Lato" w:cs="Lato"/>
                <w:b/>
                <w:i w:val="0"/>
                <w:color w:val="A4233B"/>
                <w:sz w:val="21"/>
              </w:rPr>
              <w:t>✗</w:t>
            </w:r>
          </w:p>
        </w:tc>
        <w:tc>
          <w:tcPr>
            <w:tcW w:type="dxa" w:w="964"/>
            <w:shd w:val="clear" w:color="auto" w:fill="FBE6EA"/>
          </w:tcPr>
          <w:p>
            <w:pPr>
              <w:spacing w:after="0" w:before="0"/>
              <w:jc w:val="center"/>
            </w:pPr>
            <w:r/>
            <w:r>
              <w:rPr>
                <w:rFonts w:ascii="Lato" w:hAnsi="Lato" w:cs="Lato"/>
                <w:b/>
                <w:i w:val="0"/>
                <w:color w:val="A4233B"/>
                <w:sz w:val="21"/>
              </w:rPr>
              <w:t>✗</w:t>
            </w:r>
          </w:p>
        </w:tc>
        <w:tc>
          <w:tcPr>
            <w:tcW w:type="dxa" w:w="6124"/>
          </w:tcPr>
          <w:p>
            <w:pPr>
              <w:spacing w:after="20"/>
            </w:pPr>
            <w:r/>
            <w:r>
              <w:rPr>
                <w:rFonts w:ascii="Lato" w:hAnsi="Lato" w:cs="Lato"/>
                <w:b w:val="0"/>
                <w:i w:val="0"/>
                <w:color w:val="2B2F33"/>
                <w:sz w:val="16"/>
              </w:rPr>
              <w:t>UNIQUE — TMHCC ‘CyberGuard’ is a genuine standalone cyber policy. Yutree offers Computer Breakdown only. AXA XL has NO cyber section and a broad cyber EXCLUSION (only a Data Protection Act 2018 carve-out within Public Liability). Others: none.</w:t>
            </w:r>
          </w:p>
        </w:tc>
      </w:tr>
      <w:tr>
        <w:tc>
          <w:tcPr>
            <w:tcW w:type="dxa" w:w="2835"/>
            <w:shd w:val="clear" w:color="auto" w:fill="F4F7F9"/>
          </w:tcPr>
          <w:p>
            <w:pPr>
              <w:spacing w:after="20" w:before="0"/>
            </w:pPr>
            <w:r/>
            <w:r>
              <w:rPr>
                <w:rFonts w:ascii="Lato" w:hAnsi="Lato" w:cs="Lato"/>
                <w:b/>
                <w:i w:val="0"/>
                <w:color w:val="00648B"/>
                <w:sz w:val="16"/>
              </w:rPr>
              <w:t>(+) Personal Accident &amp; Business Travel</w:t>
            </w:r>
          </w:p>
        </w:tc>
        <w:tc>
          <w:tcPr>
            <w:tcW w:type="dxa" w:w="964"/>
            <w:shd w:val="clear" w:color="auto" w:fill="FBE6EA"/>
          </w:tcPr>
          <w:p>
            <w:pPr>
              <w:spacing w:after="0" w:before="0"/>
              <w:jc w:val="center"/>
            </w:pPr>
            <w:r/>
            <w:r>
              <w:rPr>
                <w:rFonts w:ascii="Lato" w:hAnsi="Lato" w:cs="Lato"/>
                <w:b/>
                <w:i w:val="0"/>
                <w:color w:val="A4233B"/>
                <w:sz w:val="21"/>
              </w:rPr>
              <w:t>✗</w:t>
            </w:r>
          </w:p>
        </w:tc>
        <w:tc>
          <w:tcPr>
            <w:tcW w:type="dxa" w:w="964"/>
            <w:shd w:val="clear" w:color="auto" w:fill="E3F1E8"/>
          </w:tcPr>
          <w:p>
            <w:pPr>
              <w:spacing w:after="0" w:before="0"/>
              <w:jc w:val="center"/>
            </w:pPr>
            <w:r/>
            <w:r>
              <w:rPr>
                <w:rFonts w:ascii="Lato" w:hAnsi="Lato" w:cs="Lato"/>
                <w:b/>
                <w:i w:val="0"/>
                <w:color w:val="1B7A3D"/>
                <w:sz w:val="21"/>
              </w:rPr>
              <w:t>✓</w:t>
            </w:r>
          </w:p>
        </w:tc>
        <w:tc>
          <w:tcPr>
            <w:tcW w:type="dxa" w:w="964"/>
            <w:shd w:val="clear" w:color="auto" w:fill="FBF1DA"/>
          </w:tcPr>
          <w:p>
            <w:pPr>
              <w:spacing w:after="0" w:before="0"/>
              <w:jc w:val="center"/>
            </w:pPr>
            <w:r/>
            <w:r>
              <w:rPr>
                <w:rFonts w:ascii="Lato" w:hAnsi="Lato" w:cs="Lato"/>
                <w:b/>
                <w:i w:val="0"/>
                <w:color w:val="8A6A1E"/>
                <w:sz w:val="21"/>
              </w:rPr>
              <w:t>◐</w:t>
            </w:r>
          </w:p>
        </w:tc>
        <w:tc>
          <w:tcPr>
            <w:tcW w:type="dxa" w:w="964"/>
            <w:shd w:val="clear" w:color="auto" w:fill="FBE6EA"/>
          </w:tcPr>
          <w:p>
            <w:pPr>
              <w:spacing w:after="0" w:before="0"/>
              <w:jc w:val="center"/>
            </w:pPr>
            <w:r/>
            <w:r>
              <w:rPr>
                <w:rFonts w:ascii="Lato" w:hAnsi="Lato" w:cs="Lato"/>
                <w:b/>
                <w:i w:val="0"/>
                <w:color w:val="A4233B"/>
                <w:sz w:val="21"/>
              </w:rPr>
              <w:t>✗</w:t>
            </w:r>
          </w:p>
        </w:tc>
        <w:tc>
          <w:tcPr>
            <w:tcW w:type="dxa" w:w="964"/>
            <w:shd w:val="clear" w:color="auto" w:fill="EEF1F3"/>
          </w:tcPr>
          <w:p>
            <w:pPr>
              <w:spacing w:after="0" w:before="0"/>
              <w:jc w:val="center"/>
            </w:pPr>
            <w:r/>
            <w:r>
              <w:rPr>
                <w:rFonts w:ascii="Lato" w:hAnsi="Lato" w:cs="Lato"/>
                <w:b/>
                <w:i w:val="0"/>
                <w:color w:val="5B6166"/>
                <w:sz w:val="21"/>
              </w:rPr>
              <w:t>?</w:t>
            </w:r>
          </w:p>
        </w:tc>
        <w:tc>
          <w:tcPr>
            <w:tcW w:type="dxa" w:w="964"/>
            <w:shd w:val="clear" w:color="auto" w:fill="FBE6EA"/>
          </w:tcPr>
          <w:p>
            <w:pPr>
              <w:spacing w:after="0" w:before="0"/>
              <w:jc w:val="center"/>
            </w:pPr>
            <w:r/>
            <w:r>
              <w:rPr>
                <w:rFonts w:ascii="Lato" w:hAnsi="Lato" w:cs="Lato"/>
                <w:b/>
                <w:i w:val="0"/>
                <w:color w:val="A4233B"/>
                <w:sz w:val="21"/>
              </w:rPr>
              <w:t>✗</w:t>
            </w:r>
          </w:p>
        </w:tc>
        <w:tc>
          <w:tcPr>
            <w:tcW w:type="dxa" w:w="6124"/>
            <w:shd w:val="clear" w:color="auto" w:fill="F4F7F9"/>
          </w:tcPr>
          <w:p>
            <w:pPr>
              <w:spacing w:after="20"/>
            </w:pPr>
            <w:r/>
            <w:r>
              <w:rPr>
                <w:rFonts w:ascii="Lato" w:hAnsi="Lato" w:cs="Lato"/>
                <w:b w:val="0"/>
                <w:i w:val="0"/>
                <w:color w:val="2B2F33"/>
                <w:sz w:val="16"/>
              </w:rPr>
              <w:t>GAP for TMHCC: no standalone PA/business-travel section. Tysers (PA &amp; Business Travel) is extensive; Yutree covers PA assault. Allianz references a ‘Personal Accident’ section in its exclusions (not in the cover list – review). AXA XL has NO personal-accident cover.</w:t>
            </w:r>
          </w:p>
        </w:tc>
      </w:tr>
    </w:tbl>
    <w:p>
      <w:pPr>
        <w:spacing w:after="120"/>
      </w:pPr>
    </w:p>
    <w:p>
      <w:r>
        <w:br w:type="page"/>
      </w:r>
    </w:p>
    <w:p>
      <w:pPr>
        <w:keepNext/>
        <w:spacing w:before="280" w:after="40"/>
        <w:pBdr>
          <w:bottom w:val="single" w:sz="8" w:space="2" w:color="B88A3C"/>
        </w:pBdr>
      </w:pPr>
      <w:r>
        <w:rPr>
          <w:rFonts w:ascii="Lato" w:hAnsi="Lato" w:cs="Lato"/>
          <w:b/>
          <w:i w:val="0"/>
          <w:color w:val="B88A3C"/>
          <w:sz w:val="30"/>
        </w:rPr>
        <w:t xml:space="preserve">4  </w:t>
      </w:r>
      <w:r>
        <w:rPr>
          <w:rFonts w:ascii="Lato" w:hAnsi="Lato" w:cs="Lato"/>
          <w:b/>
          <w:i w:val="0"/>
          <w:color w:val="00648B"/>
          <w:sz w:val="30"/>
        </w:rPr>
        <w:t>Where TMHCC stands out</w:t>
      </w:r>
    </w:p>
    <w:p>
      <w:pPr>
        <w:spacing w:after="80" w:before="0"/>
      </w:pPr>
      <w:r>
        <w:rPr>
          <w:rFonts w:ascii="Lato" w:hAnsi="Lato" w:cs="Lato"/>
          <w:b w:val="0"/>
          <w:i w:val="0"/>
          <w:color w:val="2B2F33"/>
          <w:sz w:val="19"/>
        </w:rPr>
        <w:t>The areas where the TMHCC wording is demonstrably stronger, broader or clearer than the competitor wordings reviewed:</w:t>
      </w:r>
    </w:p>
    <w:tbl>
      <w:tblPr>
        <w:tblW w:type="dxa" w:w="14742"/>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3969"/>
        <w:gridCol w:w="10773"/>
      </w:tblGrid>
      <w:tr>
        <w:tc>
          <w:tcPr>
            <w:tcW w:type="dxa" w:w="3969"/>
            <w:shd w:val="clear" w:color="auto" w:fill="00648B"/>
          </w:tcPr>
          <w:p>
            <w:pPr>
              <w:spacing w:after="20" w:before="0"/>
              <w:jc w:val="center"/>
            </w:pPr>
            <w:r/>
            <w:r>
              <w:rPr>
                <w:rFonts w:ascii="Lato" w:hAnsi="Lato" w:cs="Lato"/>
                <w:b/>
                <w:i w:val="0"/>
                <w:color w:val="FFFFFF"/>
                <w:sz w:val="17"/>
              </w:rPr>
              <w:t>Strength</w:t>
            </w:r>
          </w:p>
        </w:tc>
        <w:tc>
          <w:tcPr>
            <w:tcW w:type="dxa" w:w="10772"/>
            <w:shd w:val="clear" w:color="auto" w:fill="00648B"/>
          </w:tcPr>
          <w:p>
            <w:pPr>
              <w:spacing w:after="20" w:before="0"/>
              <w:jc w:val="center"/>
            </w:pPr>
            <w:r/>
            <w:r>
              <w:rPr>
                <w:rFonts w:ascii="Lato" w:hAnsi="Lato" w:cs="Lato"/>
                <w:b/>
                <w:i w:val="0"/>
                <w:color w:val="FFFFFF"/>
                <w:sz w:val="17"/>
              </w:rPr>
              <w:t>Why it matters to you</w:t>
            </w:r>
          </w:p>
        </w:tc>
      </w:tr>
      <w:tr>
        <w:tc>
          <w:tcPr>
            <w:tcW w:type="dxa" w:w="3969"/>
          </w:tcPr>
          <w:p>
            <w:pPr>
              <w:spacing w:after="20" w:before="0"/>
            </w:pPr>
            <w:r/>
            <w:r>
              <w:rPr>
                <w:rFonts w:ascii="Lato" w:hAnsi="Lato" w:cs="Lato"/>
                <w:b/>
                <w:i w:val="0"/>
                <w:color w:val="00648B"/>
                <w:sz w:val="17"/>
              </w:rPr>
              <w:t>Widest section count in the peer group</w:t>
            </w:r>
          </w:p>
        </w:tc>
        <w:tc>
          <w:tcPr>
            <w:tcW w:type="dxa" w:w="10773"/>
          </w:tcPr>
          <w:p>
            <w:pPr>
              <w:spacing w:after="20" w:before="0"/>
            </w:pPr>
            <w:r/>
            <w:r>
              <w:rPr>
                <w:rFonts w:ascii="Lato" w:hAnsi="Lato" w:cs="Lato"/>
                <w:b w:val="0"/>
                <w:i w:val="0"/>
                <w:color w:val="2B2F33"/>
                <w:sz w:val="17"/>
              </w:rPr>
              <w:t>The only wording among the six offering all 15 sections in a single contract — a genuine ‘one-stop’ media &amp; entertainment package. Three of the five competitors (Liberty, Allianz and AXA XL) carry NO media/PI cover at all.</w:t>
            </w:r>
          </w:p>
        </w:tc>
      </w:tr>
      <w:tr>
        <w:tc>
          <w:tcPr>
            <w:tcW w:type="dxa" w:w="3969"/>
            <w:shd w:val="clear" w:color="auto" w:fill="F4F7F9"/>
          </w:tcPr>
          <w:p>
            <w:pPr>
              <w:spacing w:after="20" w:before="0"/>
            </w:pPr>
            <w:r/>
            <w:r>
              <w:rPr>
                <w:rFonts w:ascii="Lato" w:hAnsi="Lato" w:cs="Lato"/>
                <w:b/>
                <w:i w:val="0"/>
                <w:color w:val="00648B"/>
                <w:sz w:val="17"/>
              </w:rPr>
              <w:t>Four sections no competitor offers</w:t>
            </w:r>
          </w:p>
        </w:tc>
        <w:tc>
          <w:tcPr>
            <w:tcW w:type="dxa" w:w="10773"/>
            <w:shd w:val="clear" w:color="auto" w:fill="F4F7F9"/>
          </w:tcPr>
          <w:p>
            <w:pPr>
              <w:spacing w:after="20" w:before="0"/>
            </w:pPr>
            <w:r/>
            <w:r>
              <w:rPr>
                <w:rFonts w:ascii="Lato" w:hAnsi="Lato" w:cs="Lato"/>
                <w:b w:val="0"/>
                <w:i w:val="0"/>
                <w:color w:val="2B2F33"/>
                <w:sz w:val="17"/>
              </w:rPr>
              <w:t>Loss of Licence (S10), Commercial Legal Expenses (S13), Management Liability (S14) and a standalone Cyber-liability section (S15 CyberGuard) are unique to TMHCC across all five competitors.</w:t>
            </w:r>
          </w:p>
        </w:tc>
      </w:tr>
      <w:tr>
        <w:tc>
          <w:tcPr>
            <w:tcW w:type="dxa" w:w="3969"/>
          </w:tcPr>
          <w:p>
            <w:pPr>
              <w:spacing w:after="20" w:before="0"/>
            </w:pPr>
            <w:r/>
            <w:r>
              <w:rPr>
                <w:rFonts w:ascii="Lato" w:hAnsi="Lato" w:cs="Lato"/>
                <w:b/>
                <w:i w:val="0"/>
                <w:color w:val="00648B"/>
                <w:sz w:val="17"/>
              </w:rPr>
              <w:t>Standalone cyber that is genuine liability cover</w:t>
            </w:r>
          </w:p>
        </w:tc>
        <w:tc>
          <w:tcPr>
            <w:tcW w:type="dxa" w:w="10773"/>
          </w:tcPr>
          <w:p>
            <w:pPr>
              <w:spacing w:after="20" w:before="0"/>
            </w:pPr>
            <w:r/>
            <w:r>
              <w:rPr>
                <w:rFonts w:ascii="Lato" w:hAnsi="Lato" w:cs="Lato"/>
                <w:b w:val="0"/>
                <w:i w:val="0"/>
                <w:color w:val="2B2F33"/>
                <w:sz w:val="17"/>
              </w:rPr>
              <w:t>CyberGuard provides multimedia, security &amp; privacy, privacy-regulatory defence &amp; penalties and PCI DSS cover — not merely first-party breakdown, and not a bare cyber EXCLUSION (as in AXA XL).</w:t>
            </w:r>
          </w:p>
        </w:tc>
      </w:tr>
      <w:tr>
        <w:tc>
          <w:tcPr>
            <w:tcW w:type="dxa" w:w="3969"/>
            <w:shd w:val="clear" w:color="auto" w:fill="F4F7F9"/>
          </w:tcPr>
          <w:p>
            <w:pPr>
              <w:spacing w:after="20" w:before="0"/>
            </w:pPr>
            <w:r/>
            <w:r>
              <w:rPr>
                <w:rFonts w:ascii="Lato" w:hAnsi="Lato" w:cs="Lato"/>
                <w:b/>
                <w:i w:val="0"/>
                <w:color w:val="00648B"/>
                <w:sz w:val="17"/>
              </w:rPr>
              <w:t>Broad, well-extended Media Liability (S12)</w:t>
            </w:r>
          </w:p>
        </w:tc>
        <w:tc>
          <w:tcPr>
            <w:tcW w:type="dxa" w:w="10773"/>
            <w:shd w:val="clear" w:color="auto" w:fill="F4F7F9"/>
          </w:tcPr>
          <w:p>
            <w:pPr>
              <w:spacing w:after="20" w:before="0"/>
            </w:pPr>
            <w:r/>
            <w:r>
              <w:rPr>
                <w:rFonts w:ascii="Lato" w:hAnsi="Lato" w:cs="Lato"/>
                <w:b w:val="0"/>
                <w:i w:val="0"/>
                <w:color w:val="2B2F33"/>
                <w:sz w:val="17"/>
              </w:rPr>
              <w:t>Wide ‘any other civil liability’ grant plus employee-dishonesty write-back, Data-Protection Defence Costs (GBP 250k), Reputation Management (GBP 250k), Withdrawal of Content (GBP 250k), IP-pursuit costs (GBP 25k) and M&amp;A auto-acquisition.</w:t>
            </w:r>
          </w:p>
        </w:tc>
      </w:tr>
      <w:tr>
        <w:tc>
          <w:tcPr>
            <w:tcW w:type="dxa" w:w="3969"/>
          </w:tcPr>
          <w:p>
            <w:pPr>
              <w:spacing w:after="20" w:before="0"/>
            </w:pPr>
            <w:r/>
            <w:r>
              <w:rPr>
                <w:rFonts w:ascii="Lato" w:hAnsi="Lato" w:cs="Lato"/>
                <w:b/>
                <w:i w:val="0"/>
                <w:color w:val="00648B"/>
                <w:sz w:val="17"/>
              </w:rPr>
              <w:t>Clean exclusion architecture</w:t>
            </w:r>
          </w:p>
        </w:tc>
        <w:tc>
          <w:tcPr>
            <w:tcW w:type="dxa" w:w="10773"/>
          </w:tcPr>
          <w:p>
            <w:pPr>
              <w:spacing w:after="20" w:before="0"/>
            </w:pPr>
            <w:r/>
            <w:r>
              <w:rPr>
                <w:rFonts w:ascii="Lato" w:hAnsi="Lato" w:cs="Lato"/>
                <w:b w:val="0"/>
                <w:i w:val="0"/>
                <w:color w:val="2B2F33"/>
                <w:sz w:val="17"/>
              </w:rPr>
              <w:t>The general cyber/date exclusion is dis-applied to Sections 12–15, so the liability sections are governed by their own bespoke terms — avoiding the ‘silent-cyber strip’ seen in a competitor PI section and AXA XL’s blanket cyber exclusion.</w:t>
            </w:r>
          </w:p>
        </w:tc>
      </w:tr>
      <w:tr>
        <w:tc>
          <w:tcPr>
            <w:tcW w:type="dxa" w:w="3969"/>
            <w:shd w:val="clear" w:color="auto" w:fill="F4F7F9"/>
          </w:tcPr>
          <w:p>
            <w:pPr>
              <w:spacing w:after="20" w:before="0"/>
            </w:pPr>
            <w:r/>
            <w:r>
              <w:rPr>
                <w:rFonts w:ascii="Lato" w:hAnsi="Lato" w:cs="Lato"/>
                <w:b/>
                <w:i w:val="0"/>
                <w:color w:val="00648B"/>
                <w:sz w:val="17"/>
              </w:rPr>
              <w:t>Favourable fines/penalties carve-back</w:t>
            </w:r>
          </w:p>
        </w:tc>
        <w:tc>
          <w:tcPr>
            <w:tcW w:type="dxa" w:w="10773"/>
            <w:shd w:val="clear" w:color="auto" w:fill="F4F7F9"/>
          </w:tcPr>
          <w:p>
            <w:pPr>
              <w:spacing w:after="20" w:before="0"/>
            </w:pPr>
            <w:r/>
            <w:r>
              <w:rPr>
                <w:rFonts w:ascii="Lato" w:hAnsi="Lato" w:cs="Lato"/>
                <w:b w:val="0"/>
                <w:i w:val="0"/>
                <w:color w:val="2B2F33"/>
                <w:sz w:val="17"/>
              </w:rPr>
              <w:t>Non-compensatory damages are written back for libel/slander/defamation awards and for punitive damages where the law permits payment — AXA XL, by contrast, excludes punitive/fines absolutely.</w:t>
            </w:r>
          </w:p>
        </w:tc>
      </w:tr>
      <w:tr>
        <w:tc>
          <w:tcPr>
            <w:tcW w:type="dxa" w:w="3969"/>
          </w:tcPr>
          <w:p>
            <w:pPr>
              <w:spacing w:after="20" w:before="0"/>
            </w:pPr>
            <w:r/>
            <w:r>
              <w:rPr>
                <w:rFonts w:ascii="Lato" w:hAnsi="Lato" w:cs="Lato"/>
                <w:b/>
                <w:i w:val="0"/>
                <w:color w:val="00648B"/>
                <w:sz w:val="17"/>
              </w:rPr>
              <w:t>Protective, clearly-drafted claims architecture</w:t>
            </w:r>
          </w:p>
        </w:tc>
        <w:tc>
          <w:tcPr>
            <w:tcW w:type="dxa" w:w="10773"/>
          </w:tcPr>
          <w:p>
            <w:pPr>
              <w:spacing w:after="20" w:before="0"/>
            </w:pPr>
            <w:r/>
            <w:r>
              <w:rPr>
                <w:rFonts w:ascii="Lato" w:hAnsi="Lato" w:cs="Lato"/>
                <w:b w:val="0"/>
                <w:i w:val="0"/>
                <w:color w:val="2B2F33"/>
                <w:sz w:val="17"/>
              </w:rPr>
              <w:t>Claim notification is an express condition precedent; aggregation, retroactive date and territorial/jurisdiction terms are clearly defined.</w:t>
            </w:r>
          </w:p>
        </w:tc>
      </w:tr>
    </w:tbl>
    <w:p>
      <w:pPr>
        <w:spacing w:after="120"/>
      </w:pPr>
    </w:p>
    <w:p>
      <w:pPr>
        <w:keepNext/>
        <w:spacing w:before="280" w:after="40"/>
        <w:pBdr>
          <w:bottom w:val="single" w:sz="8" w:space="2" w:color="B88A3C"/>
        </w:pBdr>
      </w:pPr>
      <w:r>
        <w:rPr>
          <w:rFonts w:ascii="Lato" w:hAnsi="Lato" w:cs="Lato"/>
          <w:b/>
          <w:i w:val="0"/>
          <w:color w:val="B88A3C"/>
          <w:sz w:val="30"/>
        </w:rPr>
        <w:t xml:space="preserve">5  </w:t>
      </w:r>
      <w:r>
        <w:rPr>
          <w:rFonts w:ascii="Lato" w:hAnsi="Lato" w:cs="Lato"/>
          <w:b/>
          <w:i w:val="0"/>
          <w:color w:val="00648B"/>
          <w:sz w:val="30"/>
        </w:rPr>
        <w:t>Recent enhancements to the Media Liability section</w:t>
      </w:r>
    </w:p>
    <w:p>
      <w:pPr>
        <w:spacing w:after="80" w:before="0"/>
      </w:pPr>
      <w:r>
        <w:rPr>
          <w:rFonts w:ascii="Lato" w:hAnsi="Lato" w:cs="Lato"/>
          <w:b w:val="0"/>
          <w:i w:val="0"/>
          <w:color w:val="2B2F33"/>
          <w:sz w:val="19"/>
        </w:rPr>
        <w:t>The Media Liability section has been further strengthened so that it stands with the strongest media wordings in the market. The following enhancements are available (certain options apply where shown in the Schedule):</w:t>
      </w:r>
    </w:p>
    <w:p>
      <w:pPr>
        <w:pStyle w:val="ListBullet"/>
        <w:spacing w:after="40"/>
        <w:ind w:left="340"/>
      </w:pPr>
      <w:r>
        <w:rPr>
          <w:rFonts w:ascii="Lato" w:hAnsi="Lato" w:cs="Lato"/>
          <w:b/>
          <w:i w:val="0"/>
          <w:color w:val="00648B"/>
          <w:sz w:val="19"/>
        </w:rPr>
        <w:t>Distributors &amp; Purchasers:</w:t>
      </w:r>
      <w:r>
        <w:rPr>
          <w:rFonts w:ascii="Lato" w:hAnsi="Lato" w:cs="Lato"/>
          <w:b w:val="0"/>
          <w:i w:val="0"/>
          <w:color w:val="2B2F33"/>
          <w:sz w:val="19"/>
        </w:rPr>
        <w:t>indemnity can extend to purchasers, co-producers, licensees and distributors of your media material.</w:t>
      </w:r>
    </w:p>
    <w:p>
      <w:pPr>
        <w:pStyle w:val="ListBullet"/>
        <w:spacing w:after="40"/>
        <w:ind w:left="340"/>
      </w:pPr>
      <w:r>
        <w:rPr>
          <w:rFonts w:ascii="Lato" w:hAnsi="Lato" w:cs="Lato"/>
          <w:b/>
          <w:i w:val="0"/>
          <w:color w:val="00648B"/>
          <w:sz w:val="19"/>
        </w:rPr>
        <w:t>Worldwide / USA-Canada option:</w:t>
      </w:r>
      <w:r>
        <w:rPr>
          <w:rFonts w:ascii="Lato" w:hAnsi="Lato" w:cs="Lato"/>
          <w:b w:val="0"/>
          <w:i w:val="0"/>
          <w:color w:val="2B2F33"/>
          <w:sz w:val="19"/>
        </w:rPr>
        <w:t>an optional worldwide territory (with USA/Canada separately selectable) where shown in the Schedule.</w:t>
      </w:r>
    </w:p>
    <w:p>
      <w:pPr>
        <w:pStyle w:val="ListBullet"/>
        <w:spacing w:after="40"/>
        <w:ind w:left="340"/>
      </w:pPr>
      <w:r>
        <w:rPr>
          <w:rFonts w:ascii="Lato" w:hAnsi="Lato" w:cs="Lato"/>
          <w:b/>
          <w:i w:val="0"/>
          <w:color w:val="00648B"/>
          <w:sz w:val="19"/>
        </w:rPr>
        <w:t>Representation costs:</w:t>
      </w:r>
      <w:r>
        <w:rPr>
          <w:rFonts w:ascii="Lato" w:hAnsi="Lato" w:cs="Lato"/>
          <w:b w:val="0"/>
          <w:i w:val="0"/>
          <w:color w:val="2B2F33"/>
          <w:sz w:val="19"/>
        </w:rPr>
        <w:t>costs of attending official investigations and inquiries arising from your media activities.</w:t>
      </w:r>
    </w:p>
    <w:p>
      <w:pPr>
        <w:pStyle w:val="ListBullet"/>
        <w:spacing w:after="40"/>
        <w:ind w:left="340"/>
      </w:pPr>
      <w:r>
        <w:rPr>
          <w:rFonts w:ascii="Lato" w:hAnsi="Lato" w:cs="Lato"/>
          <w:b/>
          <w:i w:val="0"/>
          <w:color w:val="00648B"/>
          <w:sz w:val="19"/>
        </w:rPr>
        <w:t>Source-protection costs:</w:t>
      </w:r>
      <w:r>
        <w:rPr>
          <w:rFonts w:ascii="Lato" w:hAnsi="Lato" w:cs="Lato"/>
          <w:b w:val="0"/>
          <w:i w:val="0"/>
          <w:color w:val="2B2F33"/>
          <w:sz w:val="19"/>
        </w:rPr>
        <w:t>legal costs of resisting an order to disclose a confidential journalistic source.</w:t>
      </w:r>
    </w:p>
    <w:p>
      <w:pPr>
        <w:pStyle w:val="ListBullet"/>
        <w:spacing w:after="40"/>
        <w:ind w:left="340"/>
      </w:pPr>
      <w:r>
        <w:rPr>
          <w:rFonts w:ascii="Lato" w:hAnsi="Lato" w:cs="Lato"/>
          <w:b/>
          <w:i w:val="0"/>
          <w:color w:val="00648B"/>
          <w:sz w:val="19"/>
        </w:rPr>
        <w:t>Criminal &amp; regulatory defence:</w:t>
      </w:r>
      <w:r>
        <w:rPr>
          <w:rFonts w:ascii="Lato" w:hAnsi="Lato" w:cs="Lato"/>
          <w:b w:val="0"/>
          <w:i w:val="0"/>
          <w:color w:val="2B2F33"/>
          <w:sz w:val="19"/>
        </w:rPr>
        <w:t>a clear route to criminal/regulatory defence via Sections 13 and 14, plus a contribution within the media section.</w:t>
      </w:r>
    </w:p>
    <w:p>
      <w:pPr>
        <w:pStyle w:val="ListBullet"/>
        <w:spacing w:after="40"/>
        <w:ind w:left="340"/>
      </w:pPr>
      <w:r>
        <w:rPr>
          <w:rFonts w:ascii="Lato" w:hAnsi="Lato" w:cs="Lato"/>
          <w:b/>
          <w:i w:val="0"/>
          <w:color w:val="00648B"/>
          <w:sz w:val="19"/>
        </w:rPr>
        <w:t>King’s Counsel determination:</w:t>
      </w:r>
      <w:r>
        <w:rPr>
          <w:rFonts w:ascii="Lato" w:hAnsi="Lato" w:cs="Lato"/>
          <w:b w:val="0"/>
          <w:i w:val="0"/>
          <w:color w:val="2B2F33"/>
          <w:sz w:val="19"/>
        </w:rPr>
        <w:t>a fair, binding way to resolve any defence/settlement disagreement.</w:t>
      </w:r>
    </w:p>
    <w:p>
      <w:pPr>
        <w:spacing w:after="80" w:before="0"/>
      </w:pPr>
      <w:r>
        <w:rPr>
          <w:rFonts w:ascii="Lato" w:hAnsi="Lato" w:cs="Lato"/>
          <w:b w:val="0"/>
          <w:i/>
          <w:color w:val="6C7378"/>
          <w:sz w:val="17"/>
        </w:rPr>
        <w:t>Touring &amp; entertainment money cover and a broadened definition of ‘Employee’ in the Legal Expenses section have also been added.</w:t>
      </w:r>
    </w:p>
    <w:p>
      <w:pPr>
        <w:keepNext/>
        <w:spacing w:before="280" w:after="40"/>
        <w:pBdr>
          <w:bottom w:val="single" w:sz="8" w:space="2" w:color="B88A3C"/>
        </w:pBdr>
      </w:pPr>
      <w:r>
        <w:rPr>
          <w:rFonts w:ascii="Lato" w:hAnsi="Lato" w:cs="Lato"/>
          <w:b/>
          <w:i w:val="0"/>
          <w:color w:val="B88A3C"/>
          <w:sz w:val="30"/>
        </w:rPr>
        <w:t xml:space="preserve">6  </w:t>
      </w:r>
      <w:r>
        <w:rPr>
          <w:rFonts w:ascii="Lato" w:hAnsi="Lato" w:cs="Lato"/>
          <w:b/>
          <w:i w:val="0"/>
          <w:color w:val="00648B"/>
          <w:sz w:val="30"/>
        </w:rPr>
        <w:t>The competitor wordings at a glance</w:t>
      </w:r>
    </w:p>
    <w:p>
      <w:pPr>
        <w:keepNext/>
        <w:spacing w:before="180" w:after="40"/>
      </w:pPr>
      <w:r>
        <w:rPr>
          <w:rFonts w:ascii="Lato" w:hAnsi="Lato" w:cs="Lato"/>
          <w:b/>
          <w:i w:val="0"/>
          <w:color w:val="00648B"/>
          <w:sz w:val="23"/>
        </w:rPr>
        <w:t>Tysers “Focus” Combined ‘All Risks’ Media (capacity: Zurich Insurance plc)</w:t>
      </w:r>
    </w:p>
    <w:p>
      <w:pPr>
        <w:spacing w:after="80" w:before="0"/>
      </w:pPr>
      <w:r>
        <w:rPr>
          <w:rFonts w:ascii="Lato" w:hAnsi="Lato" w:cs="Lato"/>
          <w:b w:val="0"/>
          <w:i/>
          <w:color w:val="6C7378"/>
          <w:sz w:val="18"/>
        </w:rPr>
        <w:t>9 sections: Production Property, Property Damage, BI, Money, Production (Multimedia &amp; Producers Indemnity), EL, Public &amp; Products, Professional Indemnity/E&amp;O, Personal Accident &amp; Business Travel.</w:t>
      </w:r>
    </w:p>
    <w:p>
      <w:pPr>
        <w:pStyle w:val="ListBullet"/>
        <w:spacing w:after="40"/>
        <w:ind w:left="340"/>
      </w:pPr>
      <w:r>
        <w:rPr>
          <w:rFonts w:ascii="Lato" w:hAnsi="Lato" w:cs="Lato"/>
          <w:b/>
          <w:i w:val="0"/>
          <w:color w:val="00648B"/>
          <w:sz w:val="19"/>
        </w:rPr>
        <w:t xml:space="preserve">Strength:  </w:t>
      </w:r>
      <w:r>
        <w:rPr>
          <w:rFonts w:ascii="Lato" w:hAnsi="Lato" w:cs="Lato"/>
          <w:b w:val="0"/>
          <w:i w:val="0"/>
          <w:color w:val="2B2F33"/>
          <w:sz w:val="19"/>
        </w:rPr>
        <w:t>PI/E&amp;O (S8) is WORLDWIDE and notably broad — includes PATENT infringement, statutory defence costs (Bribery/Corporate Manslaughter/H&amp;S/CDM, GBP 1m), Distributors &amp; Purchasers extension (5x limit), journalistic source-protection costs, and representation costs (GBP 25k).</w:t>
      </w:r>
    </w:p>
    <w:p>
      <w:pPr>
        <w:pStyle w:val="ListBullet"/>
        <w:spacing w:after="40"/>
        <w:ind w:left="340"/>
      </w:pPr>
      <w:r>
        <w:rPr>
          <w:rFonts w:ascii="Lato" w:hAnsi="Lato" w:cs="Lato"/>
          <w:b/>
          <w:i w:val="0"/>
          <w:color w:val="00648B"/>
          <w:sz w:val="19"/>
        </w:rPr>
        <w:t xml:space="preserve">Strength:  </w:t>
      </w:r>
      <w:r>
        <w:rPr>
          <w:rFonts w:ascii="Lato" w:hAnsi="Lato" w:cs="Lato"/>
          <w:b w:val="0"/>
          <w:i w:val="0"/>
          <w:color w:val="2B2F33"/>
          <w:sz w:val="19"/>
        </w:rPr>
        <w:t>Extensive standalone Personal Accident &amp; Business Travel section (S9).</w:t>
      </w:r>
    </w:p>
    <w:p>
      <w:pPr>
        <w:pStyle w:val="ListBullet"/>
        <w:spacing w:after="40"/>
        <w:ind w:left="340"/>
      </w:pPr>
      <w:r>
        <w:rPr>
          <w:rFonts w:ascii="Lato" w:hAnsi="Lato" w:cs="Lato"/>
          <w:b/>
          <w:i w:val="0"/>
          <w:color w:val="00648B"/>
          <w:sz w:val="19"/>
        </w:rPr>
        <w:t xml:space="preserve">Strength:  </w:t>
      </w:r>
      <w:r>
        <w:rPr>
          <w:rFonts w:ascii="Lato" w:hAnsi="Lato" w:cs="Lato"/>
          <w:b w:val="0"/>
          <w:i w:val="0"/>
          <w:color w:val="2B2F33"/>
          <w:sz w:val="19"/>
        </w:rPr>
        <w:t>Loss of documents sub-limit GBP 1m.</w:t>
      </w:r>
    </w:p>
    <w:p>
      <w:pPr>
        <w:pStyle w:val="ListBullet"/>
        <w:spacing w:after="40"/>
        <w:ind w:left="340"/>
      </w:pPr>
      <w:r>
        <w:rPr>
          <w:rFonts w:ascii="Lato" w:hAnsi="Lato" w:cs="Lato"/>
          <w:b/>
          <w:i w:val="0"/>
          <w:color w:val="00648B"/>
          <w:sz w:val="19"/>
        </w:rPr>
        <w:t xml:space="preserve">Not in this wording:  </w:t>
      </w:r>
      <w:r>
        <w:rPr>
          <w:rFonts w:ascii="Lato" w:hAnsi="Lato" w:cs="Lato"/>
          <w:b w:val="0"/>
          <w:i w:val="0"/>
          <w:color w:val="2B2F33"/>
          <w:sz w:val="19"/>
        </w:rPr>
        <w:t>No terrorism cover (excluded outright).</w:t>
      </w:r>
    </w:p>
    <w:p>
      <w:pPr>
        <w:pStyle w:val="ListBullet"/>
        <w:spacing w:after="40"/>
        <w:ind w:left="340"/>
      </w:pPr>
      <w:r>
        <w:rPr>
          <w:rFonts w:ascii="Lato" w:hAnsi="Lato" w:cs="Lato"/>
          <w:b/>
          <w:i w:val="0"/>
          <w:color w:val="00648B"/>
          <w:sz w:val="19"/>
        </w:rPr>
        <w:t xml:space="preserve">Not in this wording:  </w:t>
      </w:r>
      <w:r>
        <w:rPr>
          <w:rFonts w:ascii="Lato" w:hAnsi="Lato" w:cs="Lato"/>
          <w:b w:val="0"/>
          <w:i w:val="0"/>
          <w:color w:val="2B2F33"/>
          <w:sz w:val="19"/>
        </w:rPr>
        <w:t>No dedicated Goods in Transit section (Money only).</w:t>
      </w:r>
    </w:p>
    <w:p>
      <w:pPr>
        <w:pStyle w:val="ListBullet"/>
        <w:spacing w:after="40"/>
        <w:ind w:left="340"/>
      </w:pPr>
      <w:r>
        <w:rPr>
          <w:rFonts w:ascii="Lato" w:hAnsi="Lato" w:cs="Lato"/>
          <w:b/>
          <w:i w:val="0"/>
          <w:color w:val="00648B"/>
          <w:sz w:val="19"/>
        </w:rPr>
        <w:t xml:space="preserve">Not in this wording:  </w:t>
      </w:r>
      <w:r>
        <w:rPr>
          <w:rFonts w:ascii="Lato" w:hAnsi="Lato" w:cs="Lato"/>
          <w:b w:val="0"/>
          <w:i w:val="0"/>
          <w:color w:val="2B2F33"/>
          <w:sz w:val="19"/>
        </w:rPr>
        <w:t>No Loss of Licence, Legal Expenses, Management Liability or standalone Cyber.</w:t>
      </w:r>
    </w:p>
    <w:p>
      <w:pPr>
        <w:pStyle w:val="ListBullet"/>
        <w:spacing w:after="40"/>
        <w:ind w:left="340"/>
      </w:pPr>
      <w:r>
        <w:rPr>
          <w:rFonts w:ascii="Lato" w:hAnsi="Lato" w:cs="Lato"/>
          <w:b/>
          <w:i w:val="0"/>
          <w:color w:val="00648B"/>
          <w:sz w:val="19"/>
        </w:rPr>
        <w:t xml:space="preserve">Not in this wording:  </w:t>
      </w:r>
      <w:r>
        <w:rPr>
          <w:rFonts w:ascii="Lato" w:hAnsi="Lato" w:cs="Lato"/>
          <w:b w:val="0"/>
          <w:i w:val="0"/>
          <w:color w:val="2B2F33"/>
          <w:sz w:val="19"/>
        </w:rPr>
        <w:t>No Reputation-Management or Withdrawal-of-Content extension identified in PI.</w:t>
      </w:r>
    </w:p>
    <w:p>
      <w:pPr>
        <w:spacing w:after="80"/>
      </w:pPr>
    </w:p>
    <w:p>
      <w:pPr>
        <w:keepNext/>
        <w:spacing w:before="180" w:after="40"/>
      </w:pPr>
      <w:r>
        <w:rPr>
          <w:rFonts w:ascii="Lato" w:hAnsi="Lato" w:cs="Lato"/>
          <w:b/>
          <w:i w:val="0"/>
          <w:color w:val="00648B"/>
          <w:sz w:val="23"/>
        </w:rPr>
        <w:t>Media &amp; Entertainment by Yutree (capacity: AXA Insurance UK plc)</w:t>
      </w:r>
    </w:p>
    <w:p>
      <w:pPr>
        <w:spacing w:after="80" w:before="0"/>
      </w:pPr>
      <w:r>
        <w:rPr>
          <w:rFonts w:ascii="Lato" w:hAnsi="Lato" w:cs="Lato"/>
          <w:b w:val="0"/>
          <w:i/>
          <w:color w:val="6C7378"/>
          <w:sz w:val="18"/>
        </w:rPr>
        <w:t>12 cover sections incl. Property, Production Property, Computer Breakdown, BI, Terrorism, EL, Public &amp; Products, Money &amp; PA assault, Goods in Transit, Production Indemnity, PI-Media and PI-Events.</w:t>
      </w:r>
    </w:p>
    <w:p>
      <w:pPr>
        <w:pStyle w:val="ListBullet"/>
        <w:spacing w:after="40"/>
        <w:ind w:left="340"/>
      </w:pPr>
      <w:r>
        <w:rPr>
          <w:rFonts w:ascii="Lato" w:hAnsi="Lato" w:cs="Lato"/>
          <w:b/>
          <w:i w:val="0"/>
          <w:color w:val="00648B"/>
          <w:sz w:val="19"/>
        </w:rPr>
        <w:t xml:space="preserve">Strength:  </w:t>
      </w:r>
      <w:r>
        <w:rPr>
          <w:rFonts w:ascii="Lato" w:hAnsi="Lato" w:cs="Lato"/>
          <w:b w:val="0"/>
          <w:i w:val="0"/>
          <w:color w:val="2B2F33"/>
          <w:sz w:val="19"/>
        </w:rPr>
        <w:t>Two PI sections (Media; and Events &amp; Installations) — useful where the client runs live events.</w:t>
      </w:r>
    </w:p>
    <w:p>
      <w:pPr>
        <w:pStyle w:val="ListBullet"/>
        <w:spacing w:after="40"/>
        <w:ind w:left="340"/>
      </w:pPr>
      <w:r>
        <w:rPr>
          <w:rFonts w:ascii="Lato" w:hAnsi="Lato" w:cs="Lato"/>
          <w:b/>
          <w:i w:val="0"/>
          <w:color w:val="00648B"/>
          <w:sz w:val="19"/>
        </w:rPr>
        <w:t xml:space="preserve">Strength:  </w:t>
      </w:r>
      <w:r>
        <w:rPr>
          <w:rFonts w:ascii="Lato" w:hAnsi="Lato" w:cs="Lato"/>
          <w:b w:val="0"/>
          <w:i w:val="0"/>
          <w:color w:val="2B2F33"/>
          <w:sz w:val="19"/>
        </w:rPr>
        <w:t>Strong PI extensions: Reputation Management (GBP 250k), Withdrawal of Content (GBP 250k), Criminal Prosecution Defence (GBP 250k), Mitigation, limited Pollution write-back, and a clear King’s Counsel dispute-resolution clause.</w:t>
      </w:r>
    </w:p>
    <w:p>
      <w:pPr>
        <w:pStyle w:val="ListBullet"/>
        <w:spacing w:after="40"/>
        <w:ind w:left="340"/>
      </w:pPr>
      <w:r>
        <w:rPr>
          <w:rFonts w:ascii="Lato" w:hAnsi="Lato" w:cs="Lato"/>
          <w:b/>
          <w:i w:val="0"/>
          <w:color w:val="00648B"/>
          <w:sz w:val="19"/>
        </w:rPr>
        <w:t xml:space="preserve">Strength:  </w:t>
      </w:r>
      <w:r>
        <w:rPr>
          <w:rFonts w:ascii="Lato" w:hAnsi="Lato" w:cs="Lato"/>
          <w:b w:val="0"/>
          <w:i w:val="0"/>
          <w:color w:val="2B2F33"/>
          <w:sz w:val="19"/>
        </w:rPr>
        <w:t>Standalone Computer Breakdown section; Goods in Transit section.</w:t>
      </w:r>
    </w:p>
    <w:p>
      <w:pPr>
        <w:pStyle w:val="ListBullet"/>
        <w:spacing w:after="40"/>
        <w:ind w:left="340"/>
      </w:pPr>
      <w:r>
        <w:rPr>
          <w:rFonts w:ascii="Lato" w:hAnsi="Lato" w:cs="Lato"/>
          <w:b/>
          <w:i w:val="0"/>
          <w:color w:val="00648B"/>
          <w:sz w:val="19"/>
        </w:rPr>
        <w:t xml:space="preserve">Not in this wording:  </w:t>
      </w:r>
      <w:r>
        <w:rPr>
          <w:rFonts w:ascii="Lato" w:hAnsi="Lato" w:cs="Lato"/>
          <w:b w:val="0"/>
          <w:i w:val="0"/>
          <w:color w:val="2B2F33"/>
          <w:sz w:val="19"/>
        </w:rPr>
        <w:t>PI carries a BROAD cyber &amp; data-protection-law exclusion (strips cyber-related PI and DP defence).</w:t>
      </w:r>
    </w:p>
    <w:p>
      <w:pPr>
        <w:pStyle w:val="ListBullet"/>
        <w:spacing w:after="40"/>
        <w:ind w:left="340"/>
      </w:pPr>
      <w:r>
        <w:rPr>
          <w:rFonts w:ascii="Lato" w:hAnsi="Lato" w:cs="Lato"/>
          <w:b/>
          <w:i w:val="0"/>
          <w:color w:val="00648B"/>
          <w:sz w:val="19"/>
        </w:rPr>
        <w:t xml:space="preserve">Not in this wording:  </w:t>
      </w:r>
      <w:r>
        <w:rPr>
          <w:rFonts w:ascii="Lato" w:hAnsi="Lato" w:cs="Lato"/>
          <w:b w:val="0"/>
          <w:i w:val="0"/>
          <w:color w:val="2B2F33"/>
          <w:sz w:val="19"/>
        </w:rPr>
        <w:t>Excludes patents.</w:t>
      </w:r>
    </w:p>
    <w:p>
      <w:pPr>
        <w:pStyle w:val="ListBullet"/>
        <w:spacing w:after="40"/>
        <w:ind w:left="340"/>
      </w:pPr>
      <w:r>
        <w:rPr>
          <w:rFonts w:ascii="Lato" w:hAnsi="Lato" w:cs="Lato"/>
          <w:b/>
          <w:i w:val="0"/>
          <w:color w:val="00648B"/>
          <w:sz w:val="19"/>
        </w:rPr>
        <w:t xml:space="preserve">Not in this wording:  </w:t>
      </w:r>
      <w:r>
        <w:rPr>
          <w:rFonts w:ascii="Lato" w:hAnsi="Lato" w:cs="Lato"/>
          <w:b w:val="0"/>
          <w:i w:val="0"/>
          <w:color w:val="2B2F33"/>
          <w:sz w:val="19"/>
        </w:rPr>
        <w:t>No Loss of Licence, Legal Expenses, Management Liability or standalone Cyber-liability section.</w:t>
      </w:r>
    </w:p>
    <w:p>
      <w:pPr>
        <w:spacing w:after="80"/>
      </w:pPr>
    </w:p>
    <w:p>
      <w:pPr>
        <w:keepNext/>
        <w:spacing w:before="180" w:after="40"/>
      </w:pPr>
      <w:r>
        <w:rPr>
          <w:rFonts w:ascii="Lato" w:hAnsi="Lato" w:cs="Lato"/>
          <w:b/>
          <w:i w:val="0"/>
          <w:color w:val="00648B"/>
          <w:sz w:val="23"/>
        </w:rPr>
        <w:t>Liberty Entertainment Combined Policy</w:t>
      </w:r>
    </w:p>
    <w:p>
      <w:pPr>
        <w:spacing w:after="80" w:before="0"/>
      </w:pPr>
      <w:r>
        <w:rPr>
          <w:rFonts w:ascii="Lato" w:hAnsi="Lato" w:cs="Lato"/>
          <w:b w:val="0"/>
          <w:i/>
          <w:color w:val="6C7378"/>
          <w:sz w:val="18"/>
        </w:rPr>
        <w:t>6 cover sections: Material Damage, Business Interruption, Terrorism, Money, Employer’s Liability, Public &amp; Products Liability.</w:t>
      </w:r>
    </w:p>
    <w:p>
      <w:pPr>
        <w:pStyle w:val="ListBullet"/>
        <w:spacing w:after="40"/>
        <w:ind w:left="340"/>
      </w:pPr>
      <w:r>
        <w:rPr>
          <w:rFonts w:ascii="Lato" w:hAnsi="Lato" w:cs="Lato"/>
          <w:b/>
          <w:i w:val="0"/>
          <w:color w:val="00648B"/>
          <w:sz w:val="19"/>
        </w:rPr>
        <w:t xml:space="preserve">Strength:  </w:t>
      </w:r>
      <w:r>
        <w:rPr>
          <w:rFonts w:ascii="Lato" w:hAnsi="Lato" w:cs="Lato"/>
          <w:b w:val="0"/>
          <w:i w:val="0"/>
          <w:color w:val="2B2F33"/>
          <w:sz w:val="19"/>
        </w:rPr>
        <w:t>Property-led wording with detailed Material-Damage extensions (removal to private home, capital additions, professional fees).</w:t>
      </w:r>
    </w:p>
    <w:p>
      <w:pPr>
        <w:pStyle w:val="ListBullet"/>
        <w:spacing w:after="40"/>
        <w:ind w:left="340"/>
      </w:pPr>
      <w:r>
        <w:rPr>
          <w:rFonts w:ascii="Lato" w:hAnsi="Lato" w:cs="Lato"/>
          <w:b/>
          <w:i w:val="0"/>
          <w:color w:val="00648B"/>
          <w:sz w:val="19"/>
        </w:rPr>
        <w:t xml:space="preserve">Strength:  </w:t>
      </w:r>
      <w:r>
        <w:rPr>
          <w:rFonts w:ascii="Lato" w:hAnsi="Lato" w:cs="Lato"/>
          <w:b w:val="0"/>
          <w:i w:val="0"/>
          <w:color w:val="2B2F33"/>
          <w:sz w:val="19"/>
        </w:rPr>
        <w:t>Clear, well-structured general exclusions/conditions.</w:t>
      </w:r>
    </w:p>
    <w:p>
      <w:pPr>
        <w:pStyle w:val="ListBullet"/>
        <w:spacing w:after="40"/>
        <w:ind w:left="340"/>
      </w:pPr>
      <w:r>
        <w:rPr>
          <w:rFonts w:ascii="Lato" w:hAnsi="Lato" w:cs="Lato"/>
          <w:b/>
          <w:i w:val="0"/>
          <w:color w:val="00648B"/>
          <w:sz w:val="19"/>
        </w:rPr>
        <w:t xml:space="preserve">Not in this wording:  </w:t>
      </w:r>
      <w:r>
        <w:rPr>
          <w:rFonts w:ascii="Lato" w:hAnsi="Lato" w:cs="Lato"/>
          <w:b w:val="0"/>
          <w:i w:val="0"/>
          <w:color w:val="2B2F33"/>
          <w:sz w:val="19"/>
        </w:rPr>
        <w:t>NO Media Liability / PI / E&amp;O cover — not an errors-&amp;-omissions wording.</w:t>
      </w:r>
    </w:p>
    <w:p>
      <w:pPr>
        <w:pStyle w:val="ListBullet"/>
        <w:spacing w:after="40"/>
        <w:ind w:left="340"/>
      </w:pPr>
      <w:r>
        <w:rPr>
          <w:rFonts w:ascii="Lato" w:hAnsi="Lato" w:cs="Lato"/>
          <w:b/>
          <w:i w:val="0"/>
          <w:color w:val="00648B"/>
          <w:sz w:val="19"/>
        </w:rPr>
        <w:t xml:space="preserve">Not in this wording:  </w:t>
      </w:r>
      <w:r>
        <w:rPr>
          <w:rFonts w:ascii="Lato" w:hAnsi="Lato" w:cs="Lato"/>
          <w:b w:val="0"/>
          <w:i w:val="0"/>
          <w:color w:val="2B2F33"/>
          <w:sz w:val="19"/>
        </w:rPr>
        <w:t>No Production Indemnity, Goods in Transit, Loss of Licence, Legal Expenses, Management Liability, Cyber or Personal Accident.</w:t>
      </w:r>
    </w:p>
    <w:p>
      <w:pPr>
        <w:spacing w:after="80"/>
      </w:pPr>
    </w:p>
    <w:p>
      <w:pPr>
        <w:keepNext/>
        <w:spacing w:before="180" w:after="40"/>
      </w:pPr>
      <w:r>
        <w:rPr>
          <w:rFonts w:ascii="Lato" w:hAnsi="Lato" w:cs="Lato"/>
          <w:b/>
          <w:i w:val="0"/>
          <w:color w:val="00648B"/>
          <w:sz w:val="23"/>
        </w:rPr>
        <w:t>Allianz Entertainment ‘Complete’ Policy</w:t>
      </w:r>
    </w:p>
    <w:p>
      <w:pPr>
        <w:spacing w:after="80" w:before="0"/>
      </w:pPr>
      <w:r>
        <w:rPr>
          <w:rFonts w:ascii="Lato" w:hAnsi="Lato" w:cs="Lato"/>
          <w:b w:val="0"/>
          <w:i/>
          <w:color w:val="6C7378"/>
          <w:sz w:val="18"/>
        </w:rPr>
        <w:t>8 cover sections (+Terrorism): Property Damage, BI, Increased Cost of Working, Book Debts, Money, Own Goods in Transit, Specified All Risks, EL, Public &amp; Products.</w:t>
      </w:r>
    </w:p>
    <w:p>
      <w:pPr>
        <w:pStyle w:val="ListBullet"/>
        <w:spacing w:after="40"/>
        <w:ind w:left="340"/>
      </w:pPr>
      <w:r>
        <w:rPr>
          <w:rFonts w:ascii="Lato" w:hAnsi="Lato" w:cs="Lato"/>
          <w:b/>
          <w:i w:val="0"/>
          <w:color w:val="00648B"/>
          <w:sz w:val="19"/>
        </w:rPr>
        <w:t xml:space="preserve">Strength:  </w:t>
      </w:r>
      <w:r>
        <w:rPr>
          <w:rFonts w:ascii="Lato" w:hAnsi="Lato" w:cs="Lato"/>
          <w:b w:val="0"/>
          <w:i w:val="0"/>
          <w:color w:val="2B2F33"/>
          <w:sz w:val="19"/>
        </w:rPr>
        <w:t>Granular BI suite — Increased Cost of Working and Book Debts as discrete sections.</w:t>
      </w:r>
    </w:p>
    <w:p>
      <w:pPr>
        <w:pStyle w:val="ListBullet"/>
        <w:spacing w:after="40"/>
        <w:ind w:left="340"/>
      </w:pPr>
      <w:r>
        <w:rPr>
          <w:rFonts w:ascii="Lato" w:hAnsi="Lato" w:cs="Lato"/>
          <w:b/>
          <w:i w:val="0"/>
          <w:color w:val="00648B"/>
          <w:sz w:val="19"/>
        </w:rPr>
        <w:t xml:space="preserve">Strength:  </w:t>
      </w:r>
      <w:r>
        <w:rPr>
          <w:rFonts w:ascii="Lato" w:hAnsi="Lato" w:cs="Lato"/>
          <w:b w:val="0"/>
          <w:i w:val="0"/>
          <w:color w:val="2B2F33"/>
          <w:sz w:val="19"/>
        </w:rPr>
        <w:t>Mature property-package drafting (Specified All Risks, GIT).</w:t>
      </w:r>
    </w:p>
    <w:p>
      <w:pPr>
        <w:pStyle w:val="ListBullet"/>
        <w:spacing w:after="40"/>
        <w:ind w:left="340"/>
      </w:pPr>
      <w:r>
        <w:rPr>
          <w:rFonts w:ascii="Lato" w:hAnsi="Lato" w:cs="Lato"/>
          <w:b/>
          <w:i w:val="0"/>
          <w:color w:val="00648B"/>
          <w:sz w:val="19"/>
        </w:rPr>
        <w:t xml:space="preserve">Not in this wording:  </w:t>
      </w:r>
      <w:r>
        <w:rPr>
          <w:rFonts w:ascii="Lato" w:hAnsi="Lato" w:cs="Lato"/>
          <w:b w:val="0"/>
          <w:i w:val="0"/>
          <w:color w:val="2B2F33"/>
          <w:sz w:val="19"/>
        </w:rPr>
        <w:t>NO Media Liability / PI / E&amp;O cover.</w:t>
      </w:r>
    </w:p>
    <w:p>
      <w:pPr>
        <w:pStyle w:val="ListBullet"/>
        <w:spacing w:after="40"/>
        <w:ind w:left="340"/>
      </w:pPr>
      <w:r>
        <w:rPr>
          <w:rFonts w:ascii="Lato" w:hAnsi="Lato" w:cs="Lato"/>
          <w:b/>
          <w:i w:val="0"/>
          <w:color w:val="00648B"/>
          <w:sz w:val="19"/>
        </w:rPr>
        <w:t xml:space="preserve">Not in this wording:  </w:t>
      </w:r>
      <w:r>
        <w:rPr>
          <w:rFonts w:ascii="Lato" w:hAnsi="Lato" w:cs="Lato"/>
          <w:b w:val="0"/>
          <w:i w:val="0"/>
          <w:color w:val="2B2F33"/>
          <w:sz w:val="19"/>
        </w:rPr>
        <w:t>No Production Indemnity, Loss of Licence, Legal Expenses, Management Liability or standalone Cyber.</w:t>
      </w:r>
    </w:p>
    <w:p>
      <w:pPr>
        <w:pStyle w:val="ListBullet"/>
        <w:spacing w:after="40"/>
        <w:ind w:left="340"/>
      </w:pPr>
      <w:r>
        <w:rPr>
          <w:rFonts w:ascii="Lato" w:hAnsi="Lato" w:cs="Lato"/>
          <w:b/>
          <w:i w:val="0"/>
          <w:color w:val="00648B"/>
          <w:sz w:val="19"/>
        </w:rPr>
        <w:t xml:space="preserve">Not in this wording:  </w:t>
      </w:r>
      <w:r>
        <w:rPr>
          <w:rFonts w:ascii="Lato" w:hAnsi="Lato" w:cs="Lato"/>
          <w:b w:val="0"/>
          <w:i w:val="0"/>
          <w:color w:val="2B2F33"/>
          <w:sz w:val="19"/>
        </w:rPr>
        <w:t>Personal Accident referenced in exclusions but not in the provided cover list (requires review).</w:t>
      </w:r>
    </w:p>
    <w:p>
      <w:pPr>
        <w:spacing w:after="80"/>
      </w:pPr>
    </w:p>
    <w:p>
      <w:pPr>
        <w:keepNext/>
        <w:spacing w:before="180" w:after="40"/>
      </w:pPr>
      <w:r>
        <w:rPr>
          <w:rFonts w:ascii="Lato" w:hAnsi="Lato" w:cs="Lato"/>
          <w:b/>
          <w:i w:val="0"/>
          <w:color w:val="00648B"/>
          <w:sz w:val="23"/>
        </w:rPr>
        <w:t>AXA XL — Media &amp; Entertainment Combined Corporate (XL Catlin Insurance Company UK Ltd; ‘Crisis Management &amp; Special Risks’, June 2021)</w:t>
      </w:r>
    </w:p>
    <w:p>
      <w:pPr>
        <w:spacing w:after="80" w:before="0"/>
      </w:pPr>
      <w:r>
        <w:rPr>
          <w:rFonts w:ascii="Lato" w:hAnsi="Lato" w:cs="Lato"/>
          <w:b w:val="0"/>
          <w:i/>
          <w:color w:val="6C7378"/>
          <w:sz w:val="18"/>
        </w:rPr>
        <w:t>3 operative sections only: Material Damage (Buildings/Contents, Machinery/Plant/Equipment, ‘Technical Equipment’ and a Money specification), Business Interruption (incl. Rent Receivable/Turnover), and Liability (7A Public, 7B Product, 7C Employers’).</w:t>
      </w:r>
    </w:p>
    <w:p>
      <w:pPr>
        <w:pStyle w:val="ListBullet"/>
        <w:spacing w:after="40"/>
        <w:ind w:left="340"/>
      </w:pPr>
      <w:r>
        <w:rPr>
          <w:rFonts w:ascii="Lato" w:hAnsi="Lato" w:cs="Lato"/>
          <w:b/>
          <w:i w:val="0"/>
          <w:color w:val="00648B"/>
          <w:sz w:val="19"/>
        </w:rPr>
        <w:t xml:space="preserve">Strength:  </w:t>
      </w:r>
      <w:r>
        <w:rPr>
          <w:rFonts w:ascii="Lato" w:hAnsi="Lato" w:cs="Lato"/>
          <w:b w:val="0"/>
          <w:i w:val="0"/>
          <w:color w:val="2B2F33"/>
          <w:sz w:val="19"/>
        </w:rPr>
        <w:t>Clean, modern ‘single contract’ combined drafting; Material Damage covers Technical Equipment used in the Business and includes a Money specification.</w:t>
      </w:r>
    </w:p>
    <w:p>
      <w:pPr>
        <w:pStyle w:val="ListBullet"/>
        <w:spacing w:after="40"/>
        <w:ind w:left="340"/>
      </w:pPr>
      <w:r>
        <w:rPr>
          <w:rFonts w:ascii="Lato" w:hAnsi="Lato" w:cs="Lato"/>
          <w:b/>
          <w:i w:val="0"/>
          <w:color w:val="00648B"/>
          <w:sz w:val="19"/>
        </w:rPr>
        <w:t xml:space="preserve">Strength:  </w:t>
      </w:r>
      <w:r>
        <w:rPr>
          <w:rFonts w:ascii="Lato" w:hAnsi="Lato" w:cs="Lato"/>
          <w:b w:val="0"/>
          <w:i w:val="0"/>
          <w:color w:val="2B2F33"/>
          <w:sz w:val="19"/>
        </w:rPr>
        <w:t>Public Liability includes a Data Protection Act 2018 defence-costs extension (a deliberate carve-out from the broad cyber exclusion).</w:t>
      </w:r>
    </w:p>
    <w:p>
      <w:pPr>
        <w:pStyle w:val="ListBullet"/>
        <w:spacing w:after="40"/>
        <w:ind w:left="340"/>
      </w:pPr>
      <w:r>
        <w:rPr>
          <w:rFonts w:ascii="Lato" w:hAnsi="Lato" w:cs="Lato"/>
          <w:b/>
          <w:i w:val="0"/>
          <w:color w:val="00648B"/>
          <w:sz w:val="19"/>
        </w:rPr>
        <w:t xml:space="preserve">Not in this wording:  </w:t>
      </w:r>
      <w:r>
        <w:rPr>
          <w:rFonts w:ascii="Lato" w:hAnsi="Lato" w:cs="Lato"/>
          <w:b w:val="0"/>
          <w:i w:val="0"/>
          <w:color w:val="2B2F33"/>
          <w:sz w:val="19"/>
        </w:rPr>
        <w:t>NO Media Liability / PI / E&amp;O, Production Indemnity, Cyber section, Legal Expenses, Management Liability, Loss of Licence, Goods in Transit or Personal Accident — despite the ‘Media &amp; Entertainment’ title.</w:t>
      </w:r>
    </w:p>
    <w:p>
      <w:pPr>
        <w:pStyle w:val="ListBullet"/>
        <w:spacing w:after="40"/>
        <w:ind w:left="340"/>
      </w:pPr>
      <w:r>
        <w:rPr>
          <w:rFonts w:ascii="Lato" w:hAnsi="Lato" w:cs="Lato"/>
          <w:b/>
          <w:i w:val="0"/>
          <w:color w:val="00648B"/>
          <w:sz w:val="19"/>
        </w:rPr>
        <w:t xml:space="preserve">Not in this wording:  </w:t>
      </w:r>
      <w:r>
        <w:rPr>
          <w:rFonts w:ascii="Lato" w:hAnsi="Lato" w:cs="Lato"/>
          <w:b w:val="0"/>
          <w:i w:val="0"/>
          <w:color w:val="2B2F33"/>
          <w:sz w:val="19"/>
        </w:rPr>
        <w:t>Terrorism EXCLUDED absolutely (Policy Exclusion 3.4, ex-EL) — no buy-back.</w:t>
      </w:r>
    </w:p>
    <w:p>
      <w:pPr>
        <w:pStyle w:val="ListBullet"/>
        <w:spacing w:after="40"/>
        <w:ind w:left="340"/>
      </w:pPr>
      <w:r>
        <w:rPr>
          <w:rFonts w:ascii="Lato" w:hAnsi="Lato" w:cs="Lato"/>
          <w:b/>
          <w:i w:val="0"/>
          <w:color w:val="00648B"/>
          <w:sz w:val="19"/>
        </w:rPr>
        <w:t xml:space="preserve">Not in this wording:  </w:t>
      </w:r>
      <w:r>
        <w:rPr>
          <w:rFonts w:ascii="Lato" w:hAnsi="Lato" w:cs="Lato"/>
          <w:b w:val="0"/>
          <w:i w:val="0"/>
          <w:color w:val="2B2F33"/>
          <w:sz w:val="19"/>
        </w:rPr>
        <w:t>Punitive/exemplary damages and fines EXCLUDED absolutely (3.2) — no defamation write-back.</w:t>
      </w:r>
    </w:p>
    <w:p>
      <w:pPr>
        <w:pStyle w:val="ListBullet"/>
        <w:spacing w:after="40"/>
        <w:ind w:left="340"/>
      </w:pPr>
      <w:r>
        <w:rPr>
          <w:rFonts w:ascii="Lato" w:hAnsi="Lato" w:cs="Lato"/>
          <w:b/>
          <w:i w:val="0"/>
          <w:color w:val="00648B"/>
          <w:sz w:val="19"/>
        </w:rPr>
        <w:t xml:space="preserve">Not in this wording:  </w:t>
      </w:r>
      <w:r>
        <w:rPr>
          <w:rFonts w:ascii="Lato" w:hAnsi="Lato" w:cs="Lato"/>
          <w:b w:val="0"/>
          <w:i w:val="0"/>
          <w:color w:val="2B2F33"/>
          <w:sz w:val="19"/>
        </w:rPr>
        <w:t>Broad cyber / electronic-data exclusion across all sections (only a DP Act 2018 carve-out within Public Liability).</w:t>
      </w:r>
    </w:p>
    <w:p>
      <w:pPr>
        <w:spacing w:after="80"/>
      </w:pPr>
    </w:p>
    <w:p>
      <w:pPr>
        <w:keepNext/>
        <w:spacing w:before="280" w:after="40"/>
        <w:pBdr>
          <w:bottom w:val="single" w:sz="8" w:space="2" w:color="B88A3C"/>
        </w:pBdr>
      </w:pPr>
      <w:r>
        <w:rPr>
          <w:rFonts w:ascii="Lato" w:hAnsi="Lato" w:cs="Lato"/>
          <w:b/>
          <w:i w:val="0"/>
          <w:color w:val="B88A3C"/>
          <w:sz w:val="30"/>
        </w:rPr>
        <w:t xml:space="preserve">7  </w:t>
      </w:r>
      <w:r>
        <w:rPr>
          <w:rFonts w:ascii="Lato" w:hAnsi="Lato" w:cs="Lato"/>
          <w:b/>
          <w:i w:val="0"/>
          <w:color w:val="00648B"/>
          <w:sz w:val="30"/>
        </w:rPr>
        <w:t>In summary</w:t>
      </w:r>
    </w:p>
    <w:tbl>
      <w:tblPr>
        <w:tblW w:type="pct" w:w="5000"/>
        <w:tblLayout w:type="fixed"/>
        <w:tblLook w:firstColumn="1" w:firstRow="1" w:lastColumn="0" w:lastRow="0" w:noHBand="0" w:noVBand="1" w:val="04A0"/>
      </w:tblPr>
      <w:tblGrid>
        <w:gridCol w:w="15138"/>
      </w:tblGrid>
      <w:tr>
        <w:tc>
          <w:tcPr>
            <w:tcW w:type="dxa" w:w="15138"/>
            <w:shd w:val="clear" w:color="auto" w:fill="EAF1F5"/>
            <w:tcBorders>
              <w:top w:val="single" w:sz="4" w:space="0" w:color="00648B"/>
              <w:left w:val="single" w:sz="22" w:space="0" w:color="00648B"/>
              <w:bottom w:val="single" w:sz="4" w:space="0" w:color="00648B"/>
              <w:right w:val="single" w:sz="4" w:space="0" w:color="00648B"/>
            </w:tcBorders>
          </w:tcPr>
          <w:p>
            <w:pPr>
              <w:spacing w:after="40" w:before="40"/>
            </w:pPr>
            <w:r/>
            <w:r>
              <w:rPr>
                <w:rFonts w:ascii="Lato" w:hAnsi="Lato" w:cs="Lato"/>
                <w:b/>
                <w:i w:val="0"/>
                <w:color w:val="00648B"/>
                <w:sz w:val="19"/>
              </w:rPr>
              <w:t xml:space="preserve">The bottom line:  </w:t>
            </w:r>
            <w:r>
              <w:rPr>
                <w:rFonts w:ascii="Lato" w:hAnsi="Lato" w:cs="Lato"/>
                <w:b w:val="0"/>
                <w:i w:val="0"/>
                <w:color w:val="2B2F33"/>
                <w:sz w:val="19"/>
              </w:rPr>
              <w:t>For a media or entertainment client that wants the widest single-contract protection — including media liability, production indemnity, loss of licence, legal expenses, management liability and standalone cyber — the TMHCC Media &amp; Music Combined wording offers more covers in one place than any of the five competitor wordings reviewed.</w:t>
            </w:r>
          </w:p>
        </w:tc>
      </w:tr>
    </w:tbl>
    <w:p>
      <w:pPr>
        <w:spacing w:after="80"/>
      </w:pPr>
    </w:p>
    <w:p>
      <w:pPr>
        <w:spacing w:after="80" w:before="0"/>
      </w:pPr>
      <w:r>
        <w:rPr>
          <w:rFonts w:ascii="Lato" w:hAnsi="Lato" w:cs="Lato"/>
          <w:b w:val="0"/>
          <w:i/>
          <w:color w:val="6C7378"/>
          <w:sz w:val="16"/>
        </w:rPr>
        <w:t>This document is a selection guide only. Cover is subject in all cases to the policy wording, its terms, conditions, exclusions and limits, and to the Schedule.</w:t>
      </w:r>
    </w:p>
    <w:sectPr w:rsidR="00FC693F" w:rsidRPr="0006063C" w:rsidSect="00034616">
      <w:headerReference w:type="default" r:id="rId9"/>
      <w:footerReference w:type="default" r:id="rId10"/>
      <w:pgSz w:w="16838" w:h="11906" w:orient="landscape"/>
      <w:pgMar w:top="850" w:right="850" w:bottom="850" w:left="85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Lato" w:hAnsi="Lato" w:cs="Lato"/>
        <w:b w:val="0"/>
        <w:i/>
        <w:color w:val="AEB4B8"/>
        <w:sz w:val="13"/>
      </w:rPr>
      <w:t>Client &amp; broker reference. Indicative comparison of policy wordings — always refer to the full policy wordings and Schedule. Cover is subject to the policy terms, conditions and limits.</w:t>
    </w:r>
  </w:p>
  <w:p>
    <w:pPr>
      <w:jc w:val="center"/>
    </w:pPr>
    <w:r>
      <w:rPr>
        <w:rFonts w:ascii="Lato" w:hAnsi="Lato" w:cs="Lato"/>
        <w:b w:val="0"/>
        <w:i w:val="0"/>
        <w:color w:val="6C7378"/>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pct" w:w="5000"/>
      <w:jc w:val="center"/>
      <w:tblBorders>
        <w:top w:val="none"/>
        <w:left w:val="none"/>
        <w:bottom w:val="none"/>
        <w:right w:val="none"/>
        <w:insideH w:val="none"/>
        <w:insideV w:val="none"/>
      </w:tblBorders>
      <w:tblLayout w:type="fixed"/>
      <w:tblLook w:firstColumn="1" w:firstRow="1" w:lastColumn="0" w:lastRow="0" w:noHBand="0" w:noVBand="1" w:val="04A0"/>
    </w:tblPr>
    <w:tblGrid>
      <w:gridCol w:w="7569"/>
      <w:gridCol w:w="7569"/>
    </w:tblGrid>
    <w:tr>
      <w:tc>
        <w:tcPr>
          <w:tcW w:type="dxa" w:w="11202"/>
          <w:vAlign w:val="center"/>
        </w:tcPr>
        <w:p>
          <w:pPr>
            <w:spacing w:after="0"/>
          </w:pPr>
          <w:r>
            <w:rPr>
              <w:rFonts w:ascii="Lato" w:hAnsi="Lato" w:cs="Lato"/>
              <w:b/>
              <w:i w:val="0"/>
              <w:color w:val="6C7378"/>
              <w:sz w:val="16"/>
            </w:rPr>
            <w:t>TMHCC Media &amp; Entertainment</w:t>
          </w:r>
        </w:p>
      </w:tc>
      <w:tc>
        <w:tcPr>
          <w:tcW w:type="dxa" w:w="3936"/>
        </w:tcPr>
        <w:p>
          <w:pPr>
            <w:jc w:val="right"/>
          </w:pPr>
          <w:r>
            <w:drawing>
              <wp:inline xmlns:a="http://schemas.openxmlformats.org/drawingml/2006/main" xmlns:pic="http://schemas.openxmlformats.org/drawingml/2006/picture">
                <wp:extent cx="329906" cy="306000"/>
                <wp:docPr id="1" name="Picture 1"/>
                <wp:cNvGraphicFramePr>
                  <a:graphicFrameLocks noChangeAspect="1"/>
                </wp:cNvGraphicFramePr>
                <a:graphic>
                  <a:graphicData uri="http://schemas.openxmlformats.org/drawingml/2006/picture">
                    <pic:pic>
                      <pic:nvPicPr>
                        <pic:cNvPr id="0" name="tmhcc_logo.png"/>
                        <pic:cNvPicPr/>
                      </pic:nvPicPr>
                      <pic:blipFill>
                        <a:blip r:embed="rId1"/>
                        <a:stretch>
                          <a:fillRect/>
                        </a:stretch>
                      </pic:blipFill>
                      <pic:spPr>
                        <a:xfrm>
                          <a:off x="0" y="0"/>
                          <a:ext cx="329906" cy="30600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ato" w:hAnsi="Lato" w:cs="Lato"/>
      <w:color w:val="2B2F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