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582188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hcc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188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spacing w:after="40"/>
      </w:pPr>
      <w:r>
        <w:rPr>
          <w:rFonts w:ascii="Lato" w:hAnsi="Lato" w:cs="Lato"/>
          <w:b/>
          <w:i w:val="0"/>
          <w:color w:val="B88A3C"/>
          <w:sz w:val="22"/>
          <w:caps w:val="true"/>
        </w:rPr>
        <w:t>Coverage Comparison — Media &amp; Entertainment</w:t>
      </w:r>
    </w:p>
    <w:p>
      <w:pPr>
        <w:spacing w:after="80"/>
        <w:pBdr>
          <w:bottom w:val="single" w:sz="14" w:space="2" w:color="B88A3C"/>
        </w:pBdr>
      </w:pPr>
      <w:r>
        <w:rPr>
          <w:rFonts w:ascii="Lato" w:hAnsi="Lato" w:cs="Lato"/>
          <w:b/>
          <w:i w:val="0"/>
          <w:color w:val="00648B"/>
          <w:sz w:val="60"/>
        </w:rPr>
        <w:t>Full Coverage Comparison</w:t>
      </w:r>
    </w:p>
    <w:p>
      <w:pPr>
        <w:spacing w:after="280" w:before="120"/>
      </w:pPr>
      <w:r>
        <w:rPr>
          <w:rFonts w:ascii="Lato" w:hAnsi="Lato" w:cs="Lato"/>
          <w:b w:val="0"/>
          <w:i w:val="0"/>
          <w:color w:val="2B2F33"/>
          <w:sz w:val="26"/>
        </w:rPr>
        <w:t>A like-for-like, section-by-section comparison of the TMHCC Media &amp; Music Combined wording against five competitor wordings (Tysers/Zurich, Yutree/AXA, Liberty, Allianz and AXA XL).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Wordings reviewed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TMHCC — Tokio Marine HCC — Media &amp; Music Combined (Tokio Marine HCC); 15 sections (master/primary wording)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Tysers (Zurich) — Tysers “Focus” Combined ‘All Risks’ Media policy (Zurich Insurance plc (capacity)); 9 sections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Yutree (AXA) — Media &amp; Entertainment by Yutree (AXA Insurance UK plc (capacity); Yutree Underwriting (MGA)); 12 cover sections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Liberty — Liberty Entertainment Combined Policy (Liberty (Liberty Specialty Markets)); 6 cover sections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Allianz — Allianz Entertainment ‘Complete’ Policy (Allianz); 8 cover sections (+ Terrorism)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AXA XL — AXA XL Media &amp; Entertainment Combined Corporate (Crisis Management &amp; Special Risks) (XL Catlin Insurance Company UK Ltd (AXA XL)); 3 operative sections (MD / BI / Liability)</w:t>
      </w:r>
    </w:p>
    <w:p>
      <w:pPr>
        <w:spacing w:after="200"/>
      </w:pP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Indicative wording comparison against the TMHCC Media &amp; Music Combined wording — for broking reference only. Always refer to the full policy wordings.</w:t>
      </w: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Market-ready subject to final TMHCC legal / underwriting sign-off.   Prepared from the wordings supplied; competitor capacity insurers noted where stated.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1  </w:t>
      </w:r>
      <w:r>
        <w:rPr>
          <w:rFonts w:ascii="Lato" w:hAnsi="Lato" w:cs="Lato"/>
          <w:b/>
          <w:i w:val="0"/>
          <w:color w:val="00648B"/>
          <w:sz w:val="30"/>
        </w:rPr>
        <w:t>Executive summary</w:t>
      </w:r>
    </w:p>
    <w:p>
      <w:pPr>
        <w:spacing w:after="80" w:before="0"/>
        <w:jc w:val="both"/>
      </w:pPr>
      <w:r>
        <w:rPr>
          <w:rFonts w:ascii="Lato" w:hAnsi="Lato" w:cs="Lato"/>
          <w:b w:val="0"/>
          <w:i w:val="0"/>
          <w:color w:val="2B2F33"/>
          <w:sz w:val="19"/>
        </w:rPr>
        <w:t>TMHCC’s Media &amp; Music Combined wording is, structurally, the broadest in the peer group reviewed. It is the only wording that offers all fifteen sections in a single contract, and it is the only wording to provide Loss of Licence, Commercial Legal Expenses, Management Liability and a genuine standalone Cyber-liability section. Three of the five competitors (Liberty, Allianz and AXA XL) are property / business-interruption / liability combined packages and contain no media, professional-indemnity, production-indemnity, cyber, legal-expenses or management-liability cover at all — AXA XL despite carrying a ‘Media &amp; Entertainment’ title.</w:t>
      </w:r>
    </w:p>
    <w:p>
      <w:pPr>
        <w:spacing w:after="80" w:before="0"/>
        <w:jc w:val="both"/>
      </w:pPr>
      <w:r>
        <w:rPr>
          <w:rFonts w:ascii="Lato" w:hAnsi="Lato" w:cs="Lato"/>
          <w:b w:val="0"/>
          <w:i w:val="0"/>
          <w:color w:val="2B2F33"/>
          <w:sz w:val="19"/>
        </w:rPr>
        <w:t>The meaningful competition therefore sits in the sections the wordings share — principally Media Liability / Professional Indemnity (where Tysers, via Zurich, and Yutree, via AXA, both offer strong wordings) and the property / BI / liability suite (where Allianz and Liberty are mature property-led packages).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Headline conclusions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TMHCC wins outright:  </w:t>
      </w:r>
      <w:r>
        <w:rPr>
          <w:rFonts w:ascii="Lato" w:hAnsi="Lato" w:cs="Lato"/>
          <w:b w:val="0"/>
          <w:i w:val="0"/>
          <w:color w:val="2B2F33"/>
          <w:sz w:val="19"/>
        </w:rPr>
        <w:t>TMHCC is broader or unique on at least six rows (Terrorism vs Tysers; Goods in Transit; Loss of Licence; Legal Expenses; Management Liability; standalone Cyber).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Competitors broader:  </w:t>
      </w:r>
      <w:r>
        <w:rPr>
          <w:rFonts w:ascii="Lato" w:hAnsi="Lato" w:cs="Lato"/>
          <w:b w:val="0"/>
          <w:i w:val="0"/>
          <w:color w:val="2B2F33"/>
          <w:sz w:val="19"/>
        </w:rPr>
        <w:t>Tysers PI is worldwide, covers patents, funds statutory/criminal defence costs (GBP 1m), and adds a distributors-&amp;-purchasers extension and journalistic source-protection costs. Tysers and Yutree both offer Personal Accident, which TMHCC does not.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Broadly equivalent:  </w:t>
      </w:r>
      <w:r>
        <w:rPr>
          <w:rFonts w:ascii="Lato" w:hAnsi="Lato" w:cs="Lato"/>
          <w:b w:val="0"/>
          <w:i w:val="0"/>
          <w:color w:val="2B2F33"/>
          <w:sz w:val="19"/>
        </w:rPr>
        <w:t>Core media-liability grants (defamation, IP, privacy, professional negligence, defence costs in addition) are broadly equivalent across TMHCC, Tysers and Yutree.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TMHCC clearer:  </w:t>
      </w:r>
      <w:r>
        <w:rPr>
          <w:rFonts w:ascii="Lato" w:hAnsi="Lato" w:cs="Lato"/>
          <w:b w:val="0"/>
          <w:i w:val="0"/>
          <w:color w:val="2B2F33"/>
          <w:sz w:val="19"/>
        </w:rPr>
        <w:t>TMHCC’s data-protection defence costs, clean cyber-exclusion carve-out for the liability sections, and favourable fines/penalties write-back are clearer than at least one competitor.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EAF1F5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Bottom line: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TMHCC already presents as the most complete media &amp; entertainment package in this peer group. A focused set of Media-Liability enhancements (a Personal-Accident option, a worldwide/US-Canada territory option, distributors &amp; source-protection extensions, and a clarifying criminal-defence cross-reference) would let TMHCC show a tick on virtually every row — see the separate Gap-Fill / Wording Enhancement Strategy.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2  </w:t>
      </w:r>
      <w:r>
        <w:rPr>
          <w:rFonts w:ascii="Lato" w:hAnsi="Lato" w:cs="Lato"/>
          <w:b/>
          <w:i w:val="0"/>
          <w:color w:val="00648B"/>
          <w:sz w:val="30"/>
        </w:rPr>
        <w:t>Methodology and documents reviewed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Documents reviewed</w:t>
      </w:r>
    </w:p>
    <w:tbl>
      <w:tblPr>
        <w:tblW w:type="dxa" w:w="14742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5386"/>
        <w:gridCol w:w="3969"/>
        <w:gridCol w:w="3345"/>
      </w:tblGrid>
      <w:tr>
        <w:tc>
          <w:tcPr>
            <w:tcW w:type="dxa" w:w="204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Wording</w:t>
            </w:r>
          </w:p>
        </w:tc>
        <w:tc>
          <w:tcPr>
            <w:tcW w:type="dxa" w:w="5386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Full title</w:t>
            </w:r>
          </w:p>
        </w:tc>
        <w:tc>
          <w:tcPr>
            <w:tcW w:type="dxa" w:w="3969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Capacity / insurer</w:t>
            </w:r>
          </w:p>
        </w:tc>
        <w:tc>
          <w:tcPr>
            <w:tcW w:type="dxa" w:w="3345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Structure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TMHCC</w:t>
            </w:r>
          </w:p>
        </w:tc>
        <w:tc>
          <w:tcPr>
            <w:tcW w:type="dxa" w:w="5386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Tokio Marine HCC — Media &amp; Music Combined</w:t>
            </w:r>
          </w:p>
        </w:tc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Tokio Marine HCC</w:t>
            </w:r>
          </w:p>
        </w:tc>
        <w:tc>
          <w:tcPr>
            <w:tcW w:type="dxa" w:w="334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15 sections (master/primary wording)</w:t>
            </w:r>
          </w:p>
        </w:tc>
      </w:tr>
      <w:tr>
        <w:tc>
          <w:tcPr>
            <w:tcW w:type="dxa" w:w="204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Tysers (Zurich)</w:t>
            </w:r>
          </w:p>
        </w:tc>
        <w:tc>
          <w:tcPr>
            <w:tcW w:type="dxa" w:w="5386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“Focus” Combined ‘All Risks’ Media policy</w:t>
            </w:r>
          </w:p>
        </w:tc>
        <w:tc>
          <w:tcPr>
            <w:tcW w:type="dxa" w:w="39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Zurich Insurance plc (capacity)</w:t>
            </w:r>
          </w:p>
        </w:tc>
        <w:tc>
          <w:tcPr>
            <w:tcW w:type="dxa" w:w="334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9 sections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Yutree (AXA)</w:t>
            </w:r>
          </w:p>
        </w:tc>
        <w:tc>
          <w:tcPr>
            <w:tcW w:type="dxa" w:w="5386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Media &amp; Entertainment by Yutree</w:t>
            </w:r>
          </w:p>
        </w:tc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AXA Insurance UK plc (capacity); Yutree Underwriting (MGA)</w:t>
            </w:r>
          </w:p>
        </w:tc>
        <w:tc>
          <w:tcPr>
            <w:tcW w:type="dxa" w:w="334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12 cover sections</w:t>
            </w:r>
          </w:p>
        </w:tc>
      </w:tr>
      <w:tr>
        <w:tc>
          <w:tcPr>
            <w:tcW w:type="dxa" w:w="204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Liberty</w:t>
            </w:r>
          </w:p>
        </w:tc>
        <w:tc>
          <w:tcPr>
            <w:tcW w:type="dxa" w:w="5386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Liberty Entertainment Combined Policy</w:t>
            </w:r>
          </w:p>
        </w:tc>
        <w:tc>
          <w:tcPr>
            <w:tcW w:type="dxa" w:w="39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Liberty (Liberty Specialty Markets)</w:t>
            </w:r>
          </w:p>
        </w:tc>
        <w:tc>
          <w:tcPr>
            <w:tcW w:type="dxa" w:w="334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6 cover sections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Allianz</w:t>
            </w:r>
          </w:p>
        </w:tc>
        <w:tc>
          <w:tcPr>
            <w:tcW w:type="dxa" w:w="5386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Allianz Entertainment ‘Complete’ Policy</w:t>
            </w:r>
          </w:p>
        </w:tc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Allianz</w:t>
            </w:r>
          </w:p>
        </w:tc>
        <w:tc>
          <w:tcPr>
            <w:tcW w:type="dxa" w:w="334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8 cover sections (+ Terrorism)</w:t>
            </w:r>
          </w:p>
        </w:tc>
      </w:tr>
      <w:tr>
        <w:tc>
          <w:tcPr>
            <w:tcW w:type="dxa" w:w="204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AXA XL</w:t>
            </w:r>
          </w:p>
        </w:tc>
        <w:tc>
          <w:tcPr>
            <w:tcW w:type="dxa" w:w="5386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AXA XL Media &amp; Entertainment Combined Corporate (Crisis Management &amp; Special Risks)</w:t>
            </w:r>
          </w:p>
        </w:tc>
        <w:tc>
          <w:tcPr>
            <w:tcW w:type="dxa" w:w="39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XL Catlin Insurance Company UK Ltd (AXA XL)</w:t>
            </w:r>
          </w:p>
        </w:tc>
        <w:tc>
          <w:tcPr>
            <w:tcW w:type="dxa" w:w="334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3 operative sections (MD / BI / Liability)</w:t>
            </w:r>
          </w:p>
        </w:tc>
      </w:tr>
    </w:tbl>
    <w:p>
      <w:pPr>
        <w:spacing w:after="120"/>
      </w:pP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Comparison method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 six wordings were parsed in full to text; coverage was compared by FUNCTION, not heading, because the wordings are structured differently.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Section maps were taken from each policy’s contents/insuring clauses; feature-level findings from the operative clauses, extensions, conditions and exclusions actually read.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Where a clause could not be verified from the wording it is marked ‘? requires review’ rather than assumed.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cover has been invented; competitor marketing language has not been treated as cover.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TMHCC is recorded as having a gap ONLY where at least one competitor genuinely provides broader, clearer or materially useful cover.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Exclusions, limits, conditions, warranties and write-backs were reviewed in detail and are not softened.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Liberty, Allianz and AXA XL are property / BI / liability combined packages and contain NO media/PI/E&amp;O, production-indemnity, cyber-liability, legal-expenses or management-liability sections.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 five competitor wordings have now been mapped, including AXA XL (the fifth wording).</w:t>
      </w:r>
    </w:p>
    <w:p>
      <w:pPr>
        <w:spacing w:after="80"/>
      </w:pP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FBF1DA"/>
            <w:tcBorders>
              <w:top w:val="single" w:sz="4" w:space="0" w:color="B88A3C"/>
              <w:left w:val="single" w:sz="22" w:space="0" w:color="B88A3C"/>
              <w:bottom w:val="single" w:sz="4" w:space="0" w:color="B88A3C"/>
              <w:right w:val="single" w:sz="4" w:space="0" w:color="B88A3C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 xml:space="preserve">Reading the matrices: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✓ = cover clearly present · ◐ = partial / conditional / sub-limited · ✗ = not covered / not identified · ? = unclear, requires review · — = not applicable. In the EXCLUSIONS tables only, ✓ means the exclusion APPLIES, ◐ means a partial exclusion or write-back, and ✗ means the exclusion is absent or carved back.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3  </w:t>
      </w:r>
      <w:r>
        <w:rPr>
          <w:rFonts w:ascii="Lato" w:hAnsi="Lato" w:cs="Lato"/>
          <w:b/>
          <w:i w:val="0"/>
          <w:color w:val="00648B"/>
          <w:sz w:val="30"/>
        </w:rPr>
        <w:t>Market comparison at a glance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Section-by-section availability across all six wordings. This is the headline coverage matrix; feature-level detail for the Media Liability / PI section follows in part 4.</w:t>
      </w:r>
    </w:p>
    <w:p>
      <w:pPr>
        <w:spacing w:after="120"/>
      </w:pPr>
      <w:r>
        <w:rPr>
          <w:rFonts w:ascii="Lato" w:hAnsi="Lato" w:cs="Lato"/>
          <w:b/>
          <w:i w:val="0"/>
          <w:color w:val="1B7A3D"/>
          <w:sz w:val="19"/>
        </w:rPr>
        <w:t xml:space="preserve">✓ </w:t>
      </w:r>
      <w:r>
        <w:rPr>
          <w:rFonts w:ascii="Lato" w:hAnsi="Lato" w:cs="Lato"/>
          <w:b w:val="0"/>
          <w:i w:val="0"/>
          <w:color w:val="6C7378"/>
          <w:sz w:val="17"/>
        </w:rPr>
        <w:t>Covered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8A6A1E"/>
          <w:sz w:val="19"/>
        </w:rPr>
        <w:t xml:space="preserve">◐ </w:t>
      </w:r>
      <w:r>
        <w:rPr>
          <w:rFonts w:ascii="Lato" w:hAnsi="Lato" w:cs="Lato"/>
          <w:b w:val="0"/>
          <w:i w:val="0"/>
          <w:color w:val="6C7378"/>
          <w:sz w:val="17"/>
        </w:rPr>
        <w:t>Partial / conditional / sub-limit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A4233B"/>
          <w:sz w:val="19"/>
        </w:rPr>
        <w:t xml:space="preserve">✗ </w:t>
      </w:r>
      <w:r>
        <w:rPr>
          <w:rFonts w:ascii="Lato" w:hAnsi="Lato" w:cs="Lato"/>
          <w:b w:val="0"/>
          <w:i w:val="0"/>
          <w:color w:val="6C7378"/>
          <w:sz w:val="17"/>
        </w:rPr>
        <w:t>Not covered / not identified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5B6166"/>
          <w:sz w:val="19"/>
        </w:rPr>
        <w:t xml:space="preserve">? </w:t>
      </w:r>
      <w:r>
        <w:rPr>
          <w:rFonts w:ascii="Lato" w:hAnsi="Lato" w:cs="Lato"/>
          <w:b w:val="0"/>
          <w:i w:val="0"/>
          <w:color w:val="6C7378"/>
          <w:sz w:val="17"/>
        </w:rPr>
        <w:t>Unclear – requires review</w:t>
      </w:r>
    </w:p>
    <w:tbl>
      <w:tblPr>
        <w:tblW w:type="dxa" w:w="14742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3062"/>
        <w:gridCol w:w="851"/>
        <w:gridCol w:w="851"/>
        <w:gridCol w:w="851"/>
        <w:gridCol w:w="851"/>
        <w:gridCol w:w="851"/>
        <w:gridCol w:w="851"/>
        <w:gridCol w:w="6577"/>
      </w:tblGrid>
      <w:tr>
        <w:tc>
          <w:tcPr>
            <w:tcW w:type="dxa" w:w="306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Section of cover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(Zurich)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(AXA)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AXA XL</w:t>
            </w:r>
          </w:p>
        </w:tc>
        <w:tc>
          <w:tcPr>
            <w:tcW w:type="dxa" w:w="6576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Comment / practical impact</w:t>
            </w:r>
          </w:p>
        </w:tc>
      </w:tr>
      <w:tr>
        <w:tc>
          <w:tcPr>
            <w:tcW w:type="dxa" w:w="306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S1 · Business “All Risks” (premises buildings &amp; contents)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6577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six offer premises/contents material damage on an all-risks basis. Allianz, Liberty and AXA XL are property-led packages with granular MD specifications; TMHCC consolidates IT/premises cover here.</w:t>
            </w:r>
          </w:p>
        </w:tc>
      </w:tr>
      <w:tr>
        <w:tc>
          <w:tcPr>
            <w:tcW w:type="dxa" w:w="306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S2 · Property &amp; Equipment “All Risks” (production/entertainment equipment)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6577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Owned and hired-in production/entertainment equipment. Tysers (Production Property), Yutree (Production property), Allianz (Specified All Risks), AXA XL (‘Technical Equipment’ within Material Damage). Liberty covers entertainment equipment via specified Schedule items.</w:t>
            </w:r>
          </w:p>
        </w:tc>
      </w:tr>
      <w:tr>
        <w:tc>
          <w:tcPr>
            <w:tcW w:type="dxa" w:w="306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S3 · Business Interruption “All Risks”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6577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offer BI. Allianz is structurally broader (splits Increased Cost of Working and Book Debts into discrete sections). AXA XL has a full BI section (incl. Rent Receivable / Turnover). Confirm TMHCC S3 expressly covers ICOW/AICOW and book debts.</w:t>
            </w:r>
          </w:p>
        </w:tc>
      </w:tr>
      <w:tr>
        <w:tc>
          <w:tcPr>
            <w:tcW w:type="dxa" w:w="306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S4 · Terrorism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577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TMHCC, Yutree, Liberty and Allianz provide terrorism cover. Tysers EXCLUDES terrorism (no buy-back). AXA XL EXCLUDES terrorism absolutely (Policy Exclusion 3.4, ex-Employers’ Liability) — client would need standalone Pool Re.</w:t>
            </w:r>
          </w:p>
        </w:tc>
      </w:tr>
      <w:tr>
        <w:tc>
          <w:tcPr>
            <w:tcW w:type="dxa" w:w="306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S5 · Employers’ Liability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6577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Statutory EL provided by all six (typically GBP 10m). Broadly equivalent. AXA XL = sub-section 7C.</w:t>
            </w:r>
          </w:p>
        </w:tc>
      </w:tr>
      <w:tr>
        <w:tc>
          <w:tcPr>
            <w:tcW w:type="dxa" w:w="306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S6 · Public Liability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6577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Provided by all. Competitors combine Public &amp; Products; TMHCC splits Public (S6) and Products (S7). AXA XL = sub-section 7A.</w:t>
            </w:r>
          </w:p>
        </w:tc>
      </w:tr>
      <w:tr>
        <w:tc>
          <w:tcPr>
            <w:tcW w:type="dxa" w:w="306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S7 · Products Liability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6577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Provided by all (combined with Public in the competitor wordings). AXA XL = sub-section 7B.</w:t>
            </w:r>
          </w:p>
        </w:tc>
      </w:tr>
      <w:tr>
        <w:tc>
          <w:tcPr>
            <w:tcW w:type="dxa" w:w="306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S8 · Money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6577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Money cover provided by all. AXA XL provides Money as a sub-limited ‘Money’ specification WITHIN the Material Damage section (schedule-driven) rather than a standalone section.</w:t>
            </w:r>
          </w:p>
        </w:tc>
      </w:tr>
      <w:tr>
        <w:tc>
          <w:tcPr>
            <w:tcW w:type="dxa" w:w="306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S9 · Goods in Transit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577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TMHCC, Yutree (GIT section) and Allianz (Own Goods in Transit) provide GIT. Tysers, Liberty and AXA XL do NOT have a dedicated GIT section.</w:t>
            </w:r>
          </w:p>
        </w:tc>
      </w:tr>
      <w:tr>
        <w:tc>
          <w:tcPr>
            <w:tcW w:type="dxa" w:w="306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S10 · Loss of Licence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577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UNIQUE to TMHCC across all five competitors. Premises-licence loss cover under the Licensing Act 2003 — highly relevant for venues/festivals.</w:t>
            </w:r>
          </w:p>
        </w:tc>
      </w:tr>
      <w:tr>
        <w:tc>
          <w:tcPr>
            <w:tcW w:type="dxa" w:w="306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S11 · Production Indemnity “All Risks”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577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TMHCC, Tysers (Multimedia &amp; Producers Indemnity) and Yutree (Production Indemnity) cover production costs / cast / negatives. Liberty, Allianz and AXA XL do NOT offer production indemnity.</w:t>
            </w:r>
          </w:p>
        </w:tc>
      </w:tr>
      <w:tr>
        <w:tc>
          <w:tcPr>
            <w:tcW w:type="dxa" w:w="306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S12 · Media Liability / Professional Indemnity (E&amp;O)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577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The heart of a media wording. TMHCC (S12), Tysers (PI/E&amp;O) and Yutree (PI-Media + PI-Events) provide it. Liberty, Allianz and AXA XL provide NO media/PI/E&amp;O cover — despite AXA XL’s ‘Media &amp; Entertainment’ branding.</w:t>
            </w:r>
          </w:p>
        </w:tc>
      </w:tr>
      <w:tr>
        <w:tc>
          <w:tcPr>
            <w:tcW w:type="dxa" w:w="306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S13 · Commercial Legal Expenses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577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UNIQUE to TMHCC (ARAG-style legal expenses). No competitor wording includes a legal-expenses section.</w:t>
            </w:r>
          </w:p>
        </w:tc>
      </w:tr>
      <w:tr>
        <w:tc>
          <w:tcPr>
            <w:tcW w:type="dxa" w:w="306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S14 · Management Liability (D&amp;O / EPL etc.)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577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UNIQUE to TMHCC. No competitor wording includes management-liability cover.</w:t>
            </w:r>
          </w:p>
        </w:tc>
      </w:tr>
      <w:tr>
        <w:tc>
          <w:tcPr>
            <w:tcW w:type="dxa" w:w="306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S15 · Cyber Liability (standalone)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577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UNIQUE — TMHCC ‘CyberGuard’ is a genuine standalone cyber policy. Yutree offers Computer Breakdown only. AXA XL has NO cyber section and a broad cyber EXCLUSION (only a Data Protection Act 2018 carve-out within Public Liability). Others: none.</w:t>
            </w:r>
          </w:p>
        </w:tc>
      </w:tr>
      <w:tr>
        <w:tc>
          <w:tcPr>
            <w:tcW w:type="dxa" w:w="306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(+) Personal Accident &amp; Business Travel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1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1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851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577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GAP for TMHCC: no standalone PA/business-travel section. Tysers (PA &amp; Business Travel) is extensive; Yutree covers PA assault. Allianz references a ‘Personal Accident’ section in its exclusions (not in the cover list – review). AXA XL has NO personal-accident cover.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4  </w:t>
      </w:r>
      <w:r>
        <w:rPr>
          <w:rFonts w:ascii="Lato" w:hAnsi="Lato" w:cs="Lato"/>
          <w:b/>
          <w:i w:val="0"/>
          <w:color w:val="00648B"/>
          <w:sz w:val="30"/>
        </w:rPr>
        <w:t>Full coverage matrix — Media Liability / PI feature detail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The Media Liability / Professional Indemnity section (TMHCC S12; Tysers S8; Yutree PI-Media) is the heart of a media wording, so it is compared feature-by-feature below. Liberty and Allianz provide no media/PI cover and are shown as not covered throughout.</w:t>
      </w:r>
    </w:p>
    <w:p>
      <w:pPr>
        <w:spacing w:after="120"/>
      </w:pPr>
      <w:r>
        <w:rPr>
          <w:rFonts w:ascii="Lato" w:hAnsi="Lato" w:cs="Lato"/>
          <w:b/>
          <w:i w:val="0"/>
          <w:color w:val="1B7A3D"/>
          <w:sz w:val="19"/>
        </w:rPr>
        <w:t xml:space="preserve">✓ </w:t>
      </w:r>
      <w:r>
        <w:rPr>
          <w:rFonts w:ascii="Lato" w:hAnsi="Lato" w:cs="Lato"/>
          <w:b w:val="0"/>
          <w:i w:val="0"/>
          <w:color w:val="6C7378"/>
          <w:sz w:val="17"/>
        </w:rPr>
        <w:t>Covered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8A6A1E"/>
          <w:sz w:val="19"/>
        </w:rPr>
        <w:t xml:space="preserve">◐ </w:t>
      </w:r>
      <w:r>
        <w:rPr>
          <w:rFonts w:ascii="Lato" w:hAnsi="Lato" w:cs="Lato"/>
          <w:b w:val="0"/>
          <w:i w:val="0"/>
          <w:color w:val="6C7378"/>
          <w:sz w:val="17"/>
        </w:rPr>
        <w:t>Partial / conditional / sub-limit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A4233B"/>
          <w:sz w:val="19"/>
        </w:rPr>
        <w:t xml:space="preserve">✗ </w:t>
      </w:r>
      <w:r>
        <w:rPr>
          <w:rFonts w:ascii="Lato" w:hAnsi="Lato" w:cs="Lato"/>
          <w:b w:val="0"/>
          <w:i w:val="0"/>
          <w:color w:val="6C7378"/>
          <w:sz w:val="17"/>
        </w:rPr>
        <w:t>Not covered / not identified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5B6166"/>
          <w:sz w:val="19"/>
        </w:rPr>
        <w:t xml:space="preserve">? </w:t>
      </w:r>
      <w:r>
        <w:rPr>
          <w:rFonts w:ascii="Lato" w:hAnsi="Lato" w:cs="Lato"/>
          <w:b w:val="0"/>
          <w:i w:val="0"/>
          <w:color w:val="6C7378"/>
          <w:sz w:val="17"/>
        </w:rPr>
        <w:t>Unclear – requires review</w:t>
      </w:r>
    </w:p>
    <w:tbl>
      <w:tblPr>
        <w:tblW w:type="dxa" w:w="14742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3175"/>
        <w:gridCol w:w="850"/>
        <w:gridCol w:w="850"/>
        <w:gridCol w:w="850"/>
        <w:gridCol w:w="850"/>
        <w:gridCol w:w="850"/>
        <w:gridCol w:w="850"/>
        <w:gridCol w:w="6464"/>
      </w:tblGrid>
      <w:tr>
        <w:tc>
          <w:tcPr>
            <w:tcW w:type="dxa" w:w="3175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Media Liability / PI feature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(Zurich)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(AXA)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AXA XL</w:t>
            </w:r>
          </w:p>
        </w:tc>
        <w:tc>
          <w:tcPr>
            <w:tcW w:type="dxa" w:w="646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Comment / practical impact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Defamation / libel / slander / malicious falsehood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and Yutree cover ‘unintentional’ defamation; Tysers covers unless the statement was known/ought-to-have-been-known to be defamatory. Broadly equivalent. Liberty/Allianz/AXA XL: no PI.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IP infringement – copyright / trademark / passing off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three media wordings cover unintentional IP infringement incl. passing-off.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Patent infringement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(clause 8.9) expressly includes PATENT infringement within IP cover. TMHCC and Yutree EXCLUDE patents. TMHCC is sensibly more restrictive (patents are hard to underwrite).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Breach of confidence / invasion of privacy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Covered by all three media wordings (TMHCC/Yutree on an ‘unintentional’ basis; Tysers clauses 8.11/8.12).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Breach of professional duty / negligence / E&amp;O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Core E&amp;O. Covered by all three media wordings.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Dishonesty / fraud of employees (write-back)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(Insuring Clause 1.l) and Yutree (Dishonesty &amp; fraud cover) grant an express write-back for employee dishonesty; Tysers via its Criminal/Malicious Acts exclusion with an employee carve-out.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Defence costs payable IN ADDITION to the limit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three pay defence costs in addition, with proportionate reduction once the limit is exceeded.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Territorial / jurisdiction scope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PI is WORLDWIDE. TMHCC limits cover to the Schedule Geographical Limits and EXCLUDES actions brought outside the stated Jurisdiction (default worldwide ex-US/Canada). Yutree restricts US/Canada. Competitor (Tysers) broader.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Data-protection defence costs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grants Data Protection Defence Costs (GBP 250k). Yutree EXCLUDES breach of data-protection law in PI. AXA XL provides only a DP Act 2018 defence-costs extension within Public Liability (not a media/PI grant). TMHCC clearer/broader.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Criminal / statutory prosecution defence costs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pays statutory defence costs (Bribery/Corporate Manslaughter/H&amp;S/CDM — GBP 1m). Yutree pays Criminal Prosecution Defence Costs (GBP 250k). TMHCC S12 grants only Data-Protection defence costs (broader criminal cover sits in S13/S14).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Reputation management / crisis-PR costs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and Yutree both grant Reputation Management costs (GBP 250k). Not identified in Tysers S8.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Withdrawal / alteration of content (incl. ASA/OFCOM)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and Yutree both grant Withdrawal of Content (GBP 250k) including ASA/OFCOM complaints. Not identified in Tysers.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Rectification / mitigation costs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three pay rectification/mitigation costs that avert a larger claim (TMHCC Rectification; Tysers 8.14; Yutree Mitigation).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Costs to PROSECUTE infringement of the insured’s own IP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(GBP 25k) and Yutree (IP-rights prosecution) fund pursuit of the insured’s own IP, subject to a supporting legal opinion. Not identified in Tysers.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Distributors &amp; purchasers extension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(clause 8.7) extends indemnity to purchasers/co-producers/distributors of the insured’s media material (up to 5x the limit). Not provided by TMHCC or Yutree.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Journalistic source-protection / challenge to subpoena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(clause 8.13) funds legal costs to challenge a subpoena requiring disclosure of a source. Not provided by TMHCC or Yutree — broker-sensitive for editorial/news clients.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Representation costs at investigations / inquiries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(8.15, GBP 25k) covers representation at official examinations/inquiries. TMHCC provides this only via Data-Protection defence; Yutree via Criminal-Prosecution defence.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Loss of documents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Covered by all three media wordings (TMHCC Insuring Clause; Tysers 8.10 GBP 1m; Yutree Loss of Documents, GBP 500 excess).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Unintentional virus transmission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(GBP 500k sub-limit, targeted-virus write-back) and Tysers (8.16, GBP 250k) cover unintentional virus transmission. Yutree treats virus within its broader cyber exclusion.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Mergers &amp; acquisitions / subsidiary auto-acquisition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and Yutree both auto-include newly created/acquired entities below a 20% turnover threshold, with notification above. Tysers position requires review.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Pollution write-back (negligent advice)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Yutree grants a limited pollution write-back where the cause is a specific act/error/omission of the insured. TMHCC and Tysers exclude pollution from PI.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Cyber/data general exclusion impact on PI cover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TMHCC’s general cyber/date exclusion applies to Sections 1–11 ONLY, leaving S12 with bespoke virus/unauthorised-access cover; Tysers’ Electronic-Risk exclusion is dis-applied to S8. Yutree’s PI carries a BROAD cyber &amp; data-protection exclusion.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Senior-counsel (KC) dispute-resolution clause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Yutree includes a clear King’s Counsel arbitration clause for defence/settlement disputes. TMHCC relies on a general mediation/dispute condition; Tysers requires review.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5  </w:t>
      </w:r>
      <w:r>
        <w:rPr>
          <w:rFonts w:ascii="Lato" w:hAnsi="Lato" w:cs="Lato"/>
          <w:b/>
          <w:i w:val="0"/>
          <w:color w:val="00648B"/>
          <w:sz w:val="30"/>
        </w:rPr>
        <w:t>Competitor-by-competitor analysis</w:t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Tysers “Focus” Combined ‘All Risks’ Media (capacity: Zurich Insurance plc)</w:t>
      </w:r>
    </w:p>
    <w:p>
      <w:pPr>
        <w:spacing w:after="80" w:before="0"/>
      </w:pPr>
      <w:r>
        <w:rPr>
          <w:rFonts w:ascii="Lato" w:hAnsi="Lato" w:cs="Lato"/>
          <w:b w:val="0"/>
          <w:i/>
          <w:color w:val="6C7378"/>
          <w:sz w:val="18"/>
        </w:rPr>
        <w:t>9 sections: Production Property, Property Damage, BI, Money, Production (Multimedia &amp; Producers Indemnity), EL, Public &amp; Products, Professional Indemnity/E&amp;O, Personal Accident &amp; Business Travel.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1B7A3D"/>
          <w:sz w:val="20"/>
        </w:rPr>
        <w:t>Where it competes well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PI/E&amp;O (S8) is WORLDWIDE and notably broad — includes PATENT infringement, statutory defence costs (Bribery/Corporate Manslaughter/H&amp;S/CDM, GBP 1m), Distributors &amp; Purchasers extension (5x limit), journalistic source-protection costs, and representation costs (GBP 25k).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Extensive standalone Personal Accident &amp; Business Travel section (S9).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Loss of documents sub-limit GBP 1m.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00648B"/>
          <w:sz w:val="20"/>
        </w:rPr>
        <w:t>Where TMHCC is broader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terrorism cover (excluded outright).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dedicated Goods in Transit section (Money only).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Loss of Licence, Legal Expenses, Management Liability or standalone Cyber.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Reputation-Management or Withdrawal-of-Content extension identified in PI.</w:t>
      </w:r>
    </w:p>
    <w:p>
      <w:pPr>
        <w:spacing w:after="8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Media &amp; Entertainment by Yutree (capacity: AXA Insurance UK plc)</w:t>
      </w:r>
    </w:p>
    <w:p>
      <w:pPr>
        <w:spacing w:after="80" w:before="0"/>
      </w:pPr>
      <w:r>
        <w:rPr>
          <w:rFonts w:ascii="Lato" w:hAnsi="Lato" w:cs="Lato"/>
          <w:b w:val="0"/>
          <w:i/>
          <w:color w:val="6C7378"/>
          <w:sz w:val="18"/>
        </w:rPr>
        <w:t>12 cover sections incl. Property, Production Property, Computer Breakdown, BI, Terrorism, EL, Public &amp; Products, Money &amp; PA assault, Goods in Transit, Production Indemnity, PI-Media and PI-Events.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1B7A3D"/>
          <w:sz w:val="20"/>
        </w:rPr>
        <w:t>Where it competes well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Two PI sections (Media; and Events &amp; Installations) — useful where the client runs live events.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Strong PI extensions: Reputation Management (GBP 250k), Withdrawal of Content (GBP 250k), Criminal Prosecution Defence (GBP 250k), Mitigation, limited Pollution write-back, and a clear King’s Counsel dispute-resolution clause.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Standalone Computer Breakdown section; Goods in Transit section.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00648B"/>
          <w:sz w:val="20"/>
        </w:rPr>
        <w:t>Where TMHCC is broader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PI carries a BROAD cyber &amp; data-protection-law exclusion (strips cyber-related PI and DP defence).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Excludes patents.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Loss of Licence, Legal Expenses, Management Liability or standalone Cyber-liability section.</w:t>
      </w:r>
    </w:p>
    <w:p>
      <w:pPr>
        <w:spacing w:after="8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Liberty Entertainment Combined Policy</w:t>
      </w:r>
    </w:p>
    <w:p>
      <w:pPr>
        <w:spacing w:after="80" w:before="0"/>
      </w:pPr>
      <w:r>
        <w:rPr>
          <w:rFonts w:ascii="Lato" w:hAnsi="Lato" w:cs="Lato"/>
          <w:b w:val="0"/>
          <w:i/>
          <w:color w:val="6C7378"/>
          <w:sz w:val="18"/>
        </w:rPr>
        <w:t>6 cover sections: Material Damage, Business Interruption, Terrorism, Money, Employer’s Liability, Public &amp; Products Liability.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1B7A3D"/>
          <w:sz w:val="20"/>
        </w:rPr>
        <w:t>Where it competes well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Property-led wording with detailed Material-Damage extensions (removal to private home, capital additions, professional fees).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Clear, well-structured general exclusions/conditions.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00648B"/>
          <w:sz w:val="20"/>
        </w:rPr>
        <w:t>Where TMHCC is broader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Media Liability / PI / E&amp;O cover — not an errors-&amp;-omissions wording.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Production Indemnity, Goods in Transit, Loss of Licence, Legal Expenses, Management Liability, Cyber or Personal Accident.</w:t>
      </w:r>
    </w:p>
    <w:p>
      <w:pPr>
        <w:spacing w:after="8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Allianz Entertainment ‘Complete’ Policy</w:t>
      </w:r>
    </w:p>
    <w:p>
      <w:pPr>
        <w:spacing w:after="80" w:before="0"/>
      </w:pPr>
      <w:r>
        <w:rPr>
          <w:rFonts w:ascii="Lato" w:hAnsi="Lato" w:cs="Lato"/>
          <w:b w:val="0"/>
          <w:i/>
          <w:color w:val="6C7378"/>
          <w:sz w:val="18"/>
        </w:rPr>
        <w:t>8 cover sections (+Terrorism): Property Damage, BI, Increased Cost of Working, Book Debts, Money, Own Goods in Transit, Specified All Risks, EL, Public &amp; Products.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1B7A3D"/>
          <w:sz w:val="20"/>
        </w:rPr>
        <w:t>Where it competes well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Granular BI suite — Increased Cost of Working and Book Debts as discrete sections.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Mature property-package drafting (Specified All Risks, GIT).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00648B"/>
          <w:sz w:val="20"/>
        </w:rPr>
        <w:t>Where TMHCC is broader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Media Liability / PI / E&amp;O cover.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Production Indemnity, Loss of Licence, Legal Expenses, Management Liability or standalone Cyber.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Personal Accident referenced in exclusions but not in the provided cover list (requires review).</w:t>
      </w:r>
    </w:p>
    <w:p>
      <w:pPr>
        <w:spacing w:after="8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AXA XL — Media &amp; Entertainment Combined Corporate (XL Catlin Insurance Company UK Ltd; ‘Crisis Management &amp; Special Risks’, June 2021)</w:t>
      </w:r>
    </w:p>
    <w:p>
      <w:pPr>
        <w:spacing w:after="80" w:before="0"/>
      </w:pPr>
      <w:r>
        <w:rPr>
          <w:rFonts w:ascii="Lato" w:hAnsi="Lato" w:cs="Lato"/>
          <w:b w:val="0"/>
          <w:i/>
          <w:color w:val="6C7378"/>
          <w:sz w:val="18"/>
        </w:rPr>
        <w:t>3 operative sections only: Material Damage (Buildings/Contents, Machinery/Plant/Equipment, ‘Technical Equipment’ and a Money specification), Business Interruption (incl. Rent Receivable/Turnover), and Liability (7A Public, 7B Product, 7C Employers’).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1B7A3D"/>
          <w:sz w:val="20"/>
        </w:rPr>
        <w:t>Where it competes well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Clean, modern ‘single contract’ combined drafting; Material Damage covers Technical Equipment used in the Business and includes a Money specification.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Public Liability includes a Data Protection Act 2018 defence-costs extension (a deliberate carve-out from the broad cyber exclusion).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00648B"/>
          <w:sz w:val="20"/>
        </w:rPr>
        <w:t>Where TMHCC is broader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Media Liability / PI / E&amp;O, Production Indemnity, Cyber section, Legal Expenses, Management Liability, Loss of Licence, Goods in Transit or Personal Accident — despite the ‘Media &amp; Entertainment’ title.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Terrorism EXCLUDED absolutely (Policy Exclusion 3.4, ex-EL) — no buy-back.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Punitive/exemplary damages and fines EXCLUDED absolutely (3.2) — no defamation write-back.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Broad cyber / electronic-data exclusion across all sections (only a DP Act 2018 carve-out within Public Liability).</w:t>
      </w:r>
    </w:p>
    <w:p>
      <w:pPr>
        <w:spacing w:after="80"/>
      </w:pP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EEF1F3"/>
            <w:tcBorders>
              <w:top w:val="single" w:sz="4" w:space="0" w:color="6C7378"/>
              <w:left w:val="single" w:sz="22" w:space="0" w:color="6C7378"/>
              <w:bottom w:val="single" w:sz="4" w:space="0" w:color="6C7378"/>
              <w:right w:val="single" w:sz="4" w:space="0" w:color="6C7378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6C7378"/>
                <w:sz w:val="19"/>
              </w:rPr>
              <w:t xml:space="preserve">All five competitors mapped: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Tysers (Zurich), Yutree (AXA), Liberty, Allianz and AXA XL have each been parsed in full and assessed against the TMHCC base wording. AXA XL — the fifth wording — confirms the pattern: it is a lean property/BI/liability package with no media/PI cover.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6  </w:t>
      </w:r>
      <w:r>
        <w:rPr>
          <w:rFonts w:ascii="Lato" w:hAnsi="Lato" w:cs="Lato"/>
          <w:b/>
          <w:i w:val="0"/>
          <w:color w:val="00648B"/>
          <w:sz w:val="30"/>
        </w:rPr>
        <w:t>TMHCC strengths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Where the TMHCC base wording is demonstrably stronger, broader or clearer than the competitor wordings reviewed:</w:t>
      </w:r>
    </w:p>
    <w:tbl>
      <w:tblPr>
        <w:tblW w:type="dxa" w:w="14742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3969"/>
        <w:gridCol w:w="10773"/>
      </w:tblGrid>
      <w:tr>
        <w:tc>
          <w:tcPr>
            <w:tcW w:type="dxa" w:w="3969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Strength</w:t>
            </w:r>
          </w:p>
        </w:tc>
        <w:tc>
          <w:tcPr>
            <w:tcW w:type="dxa" w:w="1077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Widest section count in the peer group</w:t>
            </w:r>
          </w:p>
        </w:tc>
        <w:tc>
          <w:tcPr>
            <w:tcW w:type="dxa" w:w="1077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The only wording among the six offering all 15 sections in a single contract — a genuine ‘one-stop’ media &amp; entertainment package. Three of the five competitors (Liberty, Allianz and AXA XL) carry NO media/PI cover at all.</w:t>
            </w:r>
          </w:p>
        </w:tc>
      </w:tr>
      <w:tr>
        <w:tc>
          <w:tcPr>
            <w:tcW w:type="dxa" w:w="39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Four sections no competitor offers</w:t>
            </w:r>
          </w:p>
        </w:tc>
        <w:tc>
          <w:tcPr>
            <w:tcW w:type="dxa" w:w="1077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Loss of Licence (S10), Commercial Legal Expenses (S13), Management Liability (S14) and a standalone Cyber-liability section (S15 CyberGuard) are unique to TMHCC across all five competitors.</w:t>
            </w:r>
          </w:p>
        </w:tc>
      </w:tr>
      <w:tr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Standalone cyber that is genuine liability cover</w:t>
            </w:r>
          </w:p>
        </w:tc>
        <w:tc>
          <w:tcPr>
            <w:tcW w:type="dxa" w:w="1077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CyberGuard provides multimedia, security &amp; privacy, privacy-regulatory defence &amp; penalties and PCI DSS cover — not merely first-party breakdown, and not a bare cyber EXCLUSION (as in AXA XL).</w:t>
            </w:r>
          </w:p>
        </w:tc>
      </w:tr>
      <w:tr>
        <w:tc>
          <w:tcPr>
            <w:tcW w:type="dxa" w:w="39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Broad, well-extended Media Liability (S12)</w:t>
            </w:r>
          </w:p>
        </w:tc>
        <w:tc>
          <w:tcPr>
            <w:tcW w:type="dxa" w:w="1077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Wide ‘any other civil liability’ grant plus employee-dishonesty write-back, Data-Protection Defence Costs (GBP 250k), Reputation Management (GBP 250k), Withdrawal of Content (GBP 250k), IP-pursuit costs (GBP 25k) and M&amp;A auto-acquisition.</w:t>
            </w:r>
          </w:p>
        </w:tc>
      </w:tr>
      <w:tr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Clean exclusion architecture</w:t>
            </w:r>
          </w:p>
        </w:tc>
        <w:tc>
          <w:tcPr>
            <w:tcW w:type="dxa" w:w="1077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The general cyber/date exclusion is dis-applied to Sections 12–15, so the liability sections are governed by their own bespoke terms — avoiding the ‘silent-cyber strip’ seen in a competitor PI section and AXA XL’s blanket cyber exclusion.</w:t>
            </w:r>
          </w:p>
        </w:tc>
      </w:tr>
      <w:tr>
        <w:tc>
          <w:tcPr>
            <w:tcW w:type="dxa" w:w="39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Favourable fines/penalties carve-back</w:t>
            </w:r>
          </w:p>
        </w:tc>
        <w:tc>
          <w:tcPr>
            <w:tcW w:type="dxa" w:w="1077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Non-compensatory damages are written back for libel/slander/defamation awards and for punitive damages where the law permits payment — AXA XL, by contrast, excludes punitive/fines absolutely.</w:t>
            </w:r>
          </w:p>
        </w:tc>
      </w:tr>
      <w:tr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Protective, clearly-drafted claims architecture</w:t>
            </w:r>
          </w:p>
        </w:tc>
        <w:tc>
          <w:tcPr>
            <w:tcW w:type="dxa" w:w="1077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Claim notification is an express condition precedent; aggregation, retroactive date and territorial/jurisdiction terms are clearly defined.</w:t>
            </w:r>
          </w:p>
        </w:tc>
      </w:tr>
    </w:tbl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TMHCC strengths — evidenced against the final wording</w:t>
      </w:r>
    </w:p>
    <w:p>
      <w:pPr>
        <w:spacing w:after="80" w:before="0"/>
        <w:jc w:val="both"/>
      </w:pPr>
      <w:r>
        <w:rPr>
          <w:rFonts w:ascii="Lato" w:hAnsi="Lato" w:cs="Lato"/>
          <w:b w:val="0"/>
          <w:i w:val="0"/>
          <w:color w:val="2B2F33"/>
          <w:sz w:val="19"/>
        </w:rPr>
        <w:t>Each strength below is (a) confirmed by citing the TMHCC clause and contents page, and (b) benchmarked against the named competitors. Where a competitor matches or beats us, it is stated. Competitor points that cannot be confirmed from an attached wording are labelled UNCONFIRMED.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Flexible (first-loss) Business Interruption</w:t>
      </w:r>
    </w:p>
    <w:tbl>
      <w:tblPr>
        <w:tblW w:type="dxa" w:w="14742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12134"/>
      </w:tblGrid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TMHCC position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Section 3 carries a 'Flexible Business Interruption Limit' endorsement: a SINGLE flexible limit shown in the Schedule applied collectively across multiple loss/expenditure heads — Loss of Income, Loss of Gross Profit, Loss of Fees, Increased Costs of Working, Additional Increased Costs of Working, Additional Research Expenditure and Outstanding Debts — instead of separate sub-limits ('All amounts payable collectively shall not exceed the Flexible Business Interruption Limit as shown in the Schedule').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Our clause / page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Section 3 — 'Flexible Business Interruption Limit' endorsement (contents p.38+).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Competitor benchmark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Liberty/Allianz/AXA XL present conventional BI on a declaration/estimated-revenue basis with named heads and sub-limits; none of the reviewed wordings shows an equivalent single flexible first-loss BI limit across heads.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Verdict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broader / more flexible.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Confirmation status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A4233B"/>
                <w:sz w:val="16"/>
              </w:rPr>
              <w:t>UNCONFIRMED for competitor parity — verify against the live competitor BI wordings.</w:t>
            </w:r>
          </w:p>
        </w:tc>
      </w:tr>
    </w:tbl>
    <w:p>
      <w:pPr>
        <w:spacing w:after="120"/>
      </w:pP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Contract Site extension (Section 3)</w:t>
      </w:r>
    </w:p>
    <w:tbl>
      <w:tblPr>
        <w:tblW w:type="dxa" w:w="14742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12134"/>
      </w:tblGrid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TMHCC position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The Section 3 'Contract Sites' extension covers interruption/interference as a result of Damage to property at ANY contract site ANYWHERE IN THE WORLD where the Insured are carrying out a contract of work. It is triggered by Damage to property at the contract site and does NOT require that property to be insured under the TMHCC policy.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Our clause / page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Section 3 — 'Contract Sites' extension (contents p.38+).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Competitor benchmark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Competitor BI extensions of this type are typically tied to insured property or to specified suppliers/premises; none reviewed clearly extends to damage to any (un-owned, un-insured) property at any worldwide contract site.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Verdict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broader.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Confirmation status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A4233B"/>
                <w:sz w:val="16"/>
              </w:rPr>
              <w:t>UNCONFIRMED — verify competitor contract-site/supplier extensions.</w:t>
            </w:r>
          </w:p>
        </w:tc>
      </w:tr>
    </w:tbl>
    <w:p>
      <w:pPr>
        <w:spacing w:after="120"/>
      </w:pP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Section 2 — worldwide Property &amp; Equipment cover</w:t>
      </w:r>
    </w:p>
    <w:tbl>
      <w:tblPr>
        <w:tblW w:type="dxa" w:w="14742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12134"/>
      </w:tblGrid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TMHCC position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Section 2 base 'Geographical Limits' are defined as 'Anywhere in the world', and the Section 2 Transit Extension also applies 'anywhere in the world'. Worldwide cover therefore applies as STANDARD, subject to the 'Sub-Limit Restriction' that caps liability for Property Insured away from the Premises (any-one-location / any-one-item limits per the Schedule) and the Section conditions.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Our clause / page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Section 2 — 'Geographical Limits' definition + 'Transit Extension' + 'Sub-Limit Restriction' (contents p.31+).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Competitor benchmark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Several package competitors limit equipment/all-risks transit or away cover to a number of days (e.g. ~30 days) or to specified territories.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Verdict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broader (worldwide as standard, with away-from-premises sub-limits).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Confirmation status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A4233B"/>
                <w:sz w:val="16"/>
              </w:rPr>
              <w:t>CONFIRMED in TMHCC wording (no amendment needed). Competitor day-limits UNCONFIRMED pending the live competitor wordings.</w:t>
            </w:r>
          </w:p>
        </w:tc>
      </w:tr>
    </w:tbl>
    <w:p>
      <w:pPr>
        <w:spacing w:after="120"/>
      </w:pP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Floating contents across premises</w:t>
      </w:r>
    </w:p>
    <w:tbl>
      <w:tblPr>
        <w:tblW w:type="dxa" w:w="14742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12134"/>
      </w:tblGrid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TMHCC position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Section 1 'Contents' is defined as machinery, plant and all other contents belonging to or held in trust by the Insured and 'situate at ANY of the Insured’s Premises' — i.e. contents float across all of the Insured’s premises rather than being fixed to one address.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Our clause / page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Section 1 — 'Contents' definition (contents p.23+).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Competitor benchmark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Package competitors commonly fix contents to a specified location/address, with floating cover only by endorsement.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Verdict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broader (floating as standard).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Confirmation status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A4233B"/>
                <w:sz w:val="16"/>
              </w:rPr>
              <w:t>UNCONFIRMED — verify competitor location-basis wordings.</w:t>
            </w:r>
          </w:p>
        </w:tc>
      </w:tr>
    </w:tbl>
    <w:p>
      <w:pPr>
        <w:spacing w:after="120"/>
      </w:pP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Higher limits / broader automatic extensions</w:t>
      </w:r>
    </w:p>
    <w:tbl>
      <w:tblPr>
        <w:tblW w:type="dxa" w:w="14742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12134"/>
      </w:tblGrid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TMHCC position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Section 12 carries Reputation Management (GBP 250k) and Withdrawal of Content (GBP 250k) as standard, Data-Protection defence costs (GBP 250k) and a Virus Transmission sub-limit of GBP 500k. The standalone Sections 13–15 add legal expenses, management liability and a full cyber section that most competitors lack entirely.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Our clause / page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Section 12 sub-limits + Sections 13–15 (contents p.73–103).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Competitor benchmark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virus transmission GBP 250k (TMHCC GBP 500k — higher); Tysers/Yutree match some S12 heads; Liberty/Allianz/AXA XL carry no media/PI/cyber/legal/management cover at all.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Verdict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equivalent-or-higher on the shared heads and uniquely broad overall.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Confirmation status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A4233B"/>
                <w:sz w:val="16"/>
              </w:rPr>
              <w:t>Virus GBP 500k vs Tysers GBP 250k CONFIRMED from extracts; other competitor limits UNCONFIRMED pending live wordings.</w:t>
            </w:r>
          </w:p>
        </w:tc>
      </w:tr>
    </w:tbl>
    <w:p>
      <w:pPr>
        <w:spacing w:after="120"/>
      </w:pP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US / USA-Canada / jurisdiction position</w:t>
      </w:r>
    </w:p>
    <w:tbl>
      <w:tblPr>
        <w:tblW w:type="dxa" w:w="14742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12134"/>
      </w:tblGrid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TMHCC position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The 'Jurisdiction' definition is 'worldwide but excluding the USA (and its territories/possessions) and Canada' where the Schedule is silent; Section 12 additionally excludes claims brought, or governed by laws, outside the Jurisdiction ('Legal Action' exclusion) and work outside the Schedule 'Geographical Limits'. USA/Canada is therefore a deliberate, rated option rather than automatic.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Our clause / page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General Definitions 'Jurisdiction'; Section 12 'Geographical Limits' &amp; 'Legal Action' exclusions (contents p.73+).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Competitor benchmark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PI is worldwide with no jurisdiction exclusion (broader on territory); AXA XL by contrast excludes terrorism and punitive damages absolutely — evidence that disciplined territory/peril restrictions are market-normal.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Verdict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More disciplined than Tysers on territory by design; worldwide-ex-US/Canada by default. US/Canada offered as a rated option (links to Gap 2).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Confirmation status</w:t>
            </w:r>
          </w:p>
        </w:tc>
        <w:tc>
          <w:tcPr>
            <w:tcW w:type="dxa" w:w="1213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Underwriting/legal sensitivity — any worldwide/US-Canada widening is a Section 12 sign-off item.</w:t>
            </w:r>
          </w:p>
        </w:tc>
      </w:tr>
    </w:tbl>
    <w:p>
      <w:pPr>
        <w:spacing w:after="120"/>
      </w:pP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EAF1F5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Discipline: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TMHCC is not forced to win rows the wording does not support. The Section 2 worldwide and floating-contents positions are confirmed in the TMHCC wording; the competitor day-limits and location-basis points are marked UNCONFIRMED until the live competitor wordings are re-checked clause-by-clause.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7  </w:t>
      </w:r>
      <w:r>
        <w:rPr>
          <w:rFonts w:ascii="Lato" w:hAnsi="Lato" w:cs="Lato"/>
          <w:b/>
          <w:i w:val="0"/>
          <w:color w:val="00648B"/>
          <w:sz w:val="30"/>
        </w:rPr>
        <w:t>Areas where competitors are broader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Stated objectively — where a competitor genuinely provides broader, clearer or materially useful cover. Each item is carried into the separate Gap-Fill / Wording Enhancement Strategy.</w:t>
      </w:r>
    </w:p>
    <w:tbl>
      <w:tblPr>
        <w:tblW w:type="dxa" w:w="14742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3969"/>
        <w:gridCol w:w="10773"/>
      </w:tblGrid>
      <w:tr>
        <w:tc>
          <w:tcPr>
            <w:tcW w:type="dxa" w:w="3969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Area (competitor)</w:t>
            </w:r>
          </w:p>
        </w:tc>
        <w:tc>
          <w:tcPr>
            <w:tcW w:type="dxa" w:w="1077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What the competitor does / TMHCC position</w:t>
            </w:r>
          </w:p>
        </w:tc>
      </w:tr>
      <w:tr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Worldwide PI territory (Tysers)</w:t>
            </w:r>
          </w:p>
        </w:tc>
        <w:tc>
          <w:tcPr>
            <w:tcW w:type="dxa" w:w="1077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PI/E&amp;O is worldwide; TMHCC S12 is limited to the Schedule Geographical Limits and excludes actions brought outside the stated Jurisdiction.</w:t>
            </w:r>
          </w:p>
        </w:tc>
      </w:tr>
      <w:tr>
        <w:tc>
          <w:tcPr>
            <w:tcW w:type="dxa" w:w="39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Patent infringement (Tysers)</w:t>
            </w:r>
          </w:p>
        </w:tc>
        <w:tc>
          <w:tcPr>
            <w:tcW w:type="dxa" w:w="1077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covers patent infringement within IP; TMHCC (and Yutree) exclude it.</w:t>
            </w:r>
          </w:p>
        </w:tc>
      </w:tr>
      <w:tr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Statutory / criminal defence costs (Tysers &amp; Yutree)</w:t>
            </w:r>
          </w:p>
        </w:tc>
        <w:tc>
          <w:tcPr>
            <w:tcW w:type="dxa" w:w="1077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funds Bribery/Corporate-Manslaughter/H&amp;S/CDM defence (GBP 1m); Yutree funds criminal-prosecution defence (GBP 250k). TMHCC S12 funds only data-protection defence (broader criminal cover sits in S13/S14).</w:t>
            </w:r>
          </w:p>
        </w:tc>
      </w:tr>
      <w:tr>
        <w:tc>
          <w:tcPr>
            <w:tcW w:type="dxa" w:w="39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Distributors &amp; purchasers (Tysers)</w:t>
            </w:r>
          </w:p>
        </w:tc>
        <w:tc>
          <w:tcPr>
            <w:tcW w:type="dxa" w:w="1077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extends PI to purchasers/co-producers/distributors of the insured’s media material (5x limit) — absent from TMHCC.</w:t>
            </w:r>
          </w:p>
        </w:tc>
      </w:tr>
      <w:tr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Journalistic source protection (Tysers)</w:t>
            </w:r>
          </w:p>
        </w:tc>
        <w:tc>
          <w:tcPr>
            <w:tcW w:type="dxa" w:w="1077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funds legal costs to challenge a subpoena requiring disclosure of a source — absent from TMHCC.</w:t>
            </w:r>
          </w:p>
        </w:tc>
      </w:tr>
      <w:tr>
        <w:tc>
          <w:tcPr>
            <w:tcW w:type="dxa" w:w="39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Personal Accident &amp; Business Travel (Tysers; Yutree assault)</w:t>
            </w:r>
          </w:p>
        </w:tc>
        <w:tc>
          <w:tcPr>
            <w:tcW w:type="dxa" w:w="1077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has an extensive PA/business-travel section; Yutree covers PA assault. TMHCC, Liberty, Allianz and AXA XL have no PA section.</w:t>
            </w:r>
          </w:p>
        </w:tc>
      </w:tr>
      <w:tr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Granular BI heads (Allianz)</w:t>
            </w:r>
          </w:p>
        </w:tc>
        <w:tc>
          <w:tcPr>
            <w:tcW w:type="dxa" w:w="1077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Allianz splits Increased Cost of Working and Book Debts into discrete sections — a presentational advantage.</w:t>
            </w:r>
          </w:p>
        </w:tc>
      </w:tr>
      <w:tr>
        <w:tc>
          <w:tcPr>
            <w:tcW w:type="dxa" w:w="39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Standalone Computer Breakdown (Yutree)</w:t>
            </w:r>
          </w:p>
        </w:tc>
        <w:tc>
          <w:tcPr>
            <w:tcW w:type="dxa" w:w="1077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Yutree offers a dedicated computer-breakdown section; TMHCC consolidates IT breakdown within S1/S2 — confirm it is explicit.</w:t>
            </w:r>
          </w:p>
        </w:tc>
      </w:tr>
      <w:tr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Limited pollution write-back in PI (Yutree)</w:t>
            </w:r>
          </w:p>
        </w:tc>
        <w:tc>
          <w:tcPr>
            <w:tcW w:type="dxa" w:w="1077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Yutree grants a limited pollution write-back for the insured’s own negligent act/error/omission.</w:t>
            </w:r>
          </w:p>
        </w:tc>
      </w:tr>
      <w:tr>
        <w:tc>
          <w:tcPr>
            <w:tcW w:type="dxa" w:w="39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KC dispute-resolution clause (Yutree)</w:t>
            </w:r>
          </w:p>
        </w:tc>
        <w:tc>
          <w:tcPr>
            <w:tcW w:type="dxa" w:w="1077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Yutree’s clear King’s Counsel arbitration clause for defence disputes is a drafting-clarity advantage.</w:t>
            </w:r>
          </w:p>
        </w:tc>
      </w:tr>
    </w:tbl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8  </w:t>
      </w:r>
      <w:r>
        <w:rPr>
          <w:rFonts w:ascii="Lato" w:hAnsi="Lato" w:cs="Lato"/>
          <w:b/>
          <w:i w:val="0"/>
          <w:color w:val="00648B"/>
          <w:sz w:val="30"/>
        </w:rPr>
        <w:t>Exclusions comparison</w:t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General exclusions (all sections)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FBF1DA"/>
            <w:tcBorders>
              <w:top w:val="single" w:sz="4" w:space="0" w:color="B88A3C"/>
              <w:left w:val="single" w:sz="22" w:space="0" w:color="B88A3C"/>
              <w:bottom w:val="single" w:sz="4" w:space="0" w:color="B88A3C"/>
              <w:right w:val="single" w:sz="4" w:space="0" w:color="B88A3C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 xml:space="preserve">Note: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In this table ✓ = the exclusion APPLIES, ◐ = partial / write-back present, ✗ = exclusion absent or carved back, ? = requires review.</w:t>
            </w:r>
          </w:p>
        </w:tc>
      </w:tr>
    </w:tbl>
    <w:p>
      <w:pPr>
        <w:spacing w:after="80"/>
      </w:pPr>
    </w:p>
    <w:tbl>
      <w:tblPr>
        <w:tblW w:type="dxa" w:w="14742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3175"/>
        <w:gridCol w:w="850"/>
        <w:gridCol w:w="850"/>
        <w:gridCol w:w="850"/>
        <w:gridCol w:w="850"/>
        <w:gridCol w:w="850"/>
        <w:gridCol w:w="850"/>
        <w:gridCol w:w="6464"/>
      </w:tblGrid>
      <w:tr>
        <w:tc>
          <w:tcPr>
            <w:tcW w:type="dxa" w:w="3175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General exclusion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(Zurich)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(AXA)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AXA XL</w:t>
            </w:r>
          </w:p>
        </w:tc>
        <w:tc>
          <w:tcPr>
            <w:tcW w:type="dxa" w:w="646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Comment / practical impact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War / nuclear / radioactive contamination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Standard market exclusion present in all six wordings (AXA XL 3.3/3.5, incl. weapons of mass destruction). Broadly equivalent.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Terrorism (property/BI)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TMHCC, Yutree, Liberty, Allianz write terrorism back via a dedicated section. Tysers and AXA XL (3.4) EXCLUDE terrorism outright with no buy-back.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Pollution / contamination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Excluded by all with the usual sudden/accidental &amp; defined-peril write-backs (AXA XL: MD exclusion (p) and Liability pollution exclusion). Equivalent.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Asbestos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PI has a professional-duty WRITE-BACK (cover where liability arises from negligent advice, GBP 1m, ex-BI). TMHCC, Yutree and AXA XL (3.1, ex-EL) exclude asbestos more strictly.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Cyber / electronic risk (first-party damage &amp; BI)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exclude cyber-caused damage/BI. KEY DIFFERENCE: TMHCC dis-applies its cyber/date exclusion to Sections 12–15; Tysers dis-applies Electronic Risk to S8 PI. AXA XL’s cyber exclusion (3.7) is broad with only a DP Act 2018 carve-out; Yutree’s PI carries a broad cyber/data exclusion.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Date recognition / data-processing failure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Standard ‘millennium/date’-style exclusion in the property packages. AXA XL has no separate date clause — subsumed within its broad cyber/electronic-data exclusion. Equivalent in substance.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Communicable disease / pandemic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850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850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and AXA XL (3.8) both carry a BROAD communicable-disease exclusion (applies notwithstanding all other terms). Not identified in Tysers; Yutree/Liberty/Allianz require confirmation. TMHCC is well-protected here (a deliberate restriction).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Sanctions / trade restrictions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carry a sanctions clause (AXA XL 4.4). TMHCC has both a Trading-Sanctions and an International-Sanctions clause. Equivalent.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Northern Ireland (civil commotion) / sonic bangs</w:t>
            </w:r>
          </w:p>
        </w:tc>
        <w:tc>
          <w:tcPr>
            <w:tcW w:type="dxa" w:w="850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Standard UK property-package carve-outs present in Tysers/Liberty/Allianz; TMHCC and AXA XL treatment within property sections requires confirmation.</w:t>
            </w:r>
          </w:p>
        </w:tc>
      </w:tr>
    </w:tbl>
    <w:p>
      <w:pPr>
        <w:spacing w:after="12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Media Liability / PI-specific exclusions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Liberty, Allianz and AXA XL have no PI section and are shown as not applicable.</w:t>
      </w:r>
    </w:p>
    <w:tbl>
      <w:tblPr>
        <w:tblW w:type="dxa" w:w="14742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3175"/>
        <w:gridCol w:w="850"/>
        <w:gridCol w:w="850"/>
        <w:gridCol w:w="850"/>
        <w:gridCol w:w="850"/>
        <w:gridCol w:w="850"/>
        <w:gridCol w:w="850"/>
        <w:gridCol w:w="6464"/>
      </w:tblGrid>
      <w:tr>
        <w:tc>
          <w:tcPr>
            <w:tcW w:type="dxa" w:w="3175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PI exclusion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(Zurich)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(AXA)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AXA XL</w:t>
            </w:r>
          </w:p>
        </w:tc>
        <w:tc>
          <w:tcPr>
            <w:tcW w:type="dxa" w:w="646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Comment / practical impact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Contractual / assumed liability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Excluded by all three media wordings, with the standard write-back for liability that would exist absent the contract. Equivalent.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Deliberate / reckless / dishonest acts (with employee write-back)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exclude deliberate/dishonest acts of the insured but write back dishonest acts of employees. Equivalent.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Bodily injury / property damage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Excluded unless arising from negligent publication/advice. Equivalent.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Fines / penalties / punitive damages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850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excludes non-compensatory damages BUT writes back libel/slander/defamation awards and punitive damages where the law permits — a favourable carve-back. (Note: AXA XL’s general policy excludes punitive/exemplary damages and fines ABSOLUTELY, with no write-back — TMHCC is clearer/broader.)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Prior known claims / circumstances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Excluded by all three (claims-made hygiene). Equivalent.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Insolvency / financial failure of the insured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850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expressly excludes claims arising from its own insolvency/liquidation. Competitor positions require review.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USA / Canada jurisdiction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excludes actions brought / governed outside the stated Jurisdiction (default ex-US/Canada). Tysers PI is WORLDWIDE. Yutree restricts US/Canada exposure. Competitor (Tysers) broader.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Patent infringement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and Yutree exclude patents; Tysers covers patent infringement. TMHCC sensibly more restrictive.</w:t>
            </w:r>
          </w:p>
        </w:tc>
      </w:tr>
      <w:tr>
        <w:tc>
          <w:tcPr>
            <w:tcW w:type="dxa" w:w="317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Cyber act / breach of data-protection law (within PI)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6464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Yutree’s PI carries a broad cyber-act &amp; data-protection-law exclusion. TMHCC instead grants bespoke cover (virus, unauthorised access, DP defence costs) — TMHCC broader/clearer.</w:t>
            </w:r>
          </w:p>
        </w:tc>
      </w:tr>
      <w:tr>
        <w:tc>
          <w:tcPr>
            <w:tcW w:type="dxa" w:w="317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Pollution / seepage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850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850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646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and Tysers exclude pollution from PI; Yutree grants a limited write-back for the insured’s own negligent act/error/omission.</w:t>
            </w:r>
          </w:p>
        </w:tc>
      </w:tr>
    </w:tbl>
    <w:p>
      <w:pPr>
        <w:spacing w:after="120"/>
      </w:pP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EAF1F5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Exclusions — key takeaways: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TMHCC is sensibly MORE protected on communicable disease, patents and US/Canada jurisdiction. The genuine write-back opportunities a competitor offers are: asbestos professional-duty (Tysers), pollution negligent-advice (Yutree) and a rated worldwide/US-Canada PI option (Tysers). TMHCC is clearer where its cyber/date exclusion is dis-applied to the liability sections, avoiding a ‘silent-cyber strip’ of PI.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9  </w:t>
      </w:r>
      <w:r>
        <w:rPr>
          <w:rFonts w:ascii="Lato" w:hAnsi="Lato" w:cs="Lato"/>
          <w:b/>
          <w:i w:val="0"/>
          <w:color w:val="00648B"/>
          <w:sz w:val="30"/>
        </w:rPr>
        <w:t>Conditions, warranties and claims obligations</w:t>
      </w:r>
    </w:p>
    <w:tbl>
      <w:tblPr>
        <w:tblW w:type="dxa" w:w="14742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211"/>
        <w:gridCol w:w="2552"/>
        <w:gridCol w:w="2211"/>
        <w:gridCol w:w="2211"/>
        <w:gridCol w:w="1871"/>
        <w:gridCol w:w="1871"/>
        <w:gridCol w:w="1814"/>
      </w:tblGrid>
      <w:tr>
        <w:tc>
          <w:tcPr>
            <w:tcW w:type="dxa" w:w="221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Condition / obligation</w:t>
            </w:r>
          </w:p>
        </w:tc>
        <w:tc>
          <w:tcPr>
            <w:tcW w:type="dxa" w:w="255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221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 (Zurich)</w:t>
            </w:r>
          </w:p>
        </w:tc>
        <w:tc>
          <w:tcPr>
            <w:tcW w:type="dxa" w:w="221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 (AXA)</w:t>
            </w:r>
          </w:p>
        </w:tc>
        <w:tc>
          <w:tcPr>
            <w:tcW w:type="dxa" w:w="187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187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181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AXA XL</w:t>
            </w:r>
          </w:p>
        </w:tc>
      </w:tr>
      <w:tr>
        <w:tc>
          <w:tcPr>
            <w:tcW w:type="dxa" w:w="221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Claim notification</w:t>
            </w:r>
          </w:p>
        </w:tc>
        <w:tc>
          <w:tcPr>
            <w:tcW w:type="dxa" w:w="255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Express CONDITION PRECEDENT to liability — notify as soon as practicable (S1–11); S13 within 28 days; S12 claims-made notification during the period. Among the most protective drafting.</w:t>
            </w:r>
          </w:p>
        </w:tc>
        <w:tc>
          <w:tcPr>
            <w:tcW w:type="dxa" w:w="221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Notification under Special Condition 1; S8 PI is claims-made.</w:t>
            </w:r>
          </w:p>
        </w:tc>
        <w:tc>
          <w:tcPr>
            <w:tcW w:type="dxa" w:w="221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Claims-made; defined notification conditions for claims and claim circumstances.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Forward every claim document immediately on receipt.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Forward claim/notify per claims condition; potential proportionate remedy.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Written notice to Insurer per Policy Conditions; claims co-operation conditions.</w:t>
            </w:r>
          </w:p>
        </w:tc>
      </w:tr>
      <w:tr>
        <w:tc>
          <w:tcPr>
            <w:tcW w:type="dxa" w:w="221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Basis of cover (PI/Media)</w:t>
            </w:r>
          </w:p>
        </w:tc>
        <w:tc>
          <w:tcPr>
            <w:tcW w:type="dxa" w:w="255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S12 Media Liability is claims-made with Retroactive Date; defence-costs in addition.</w:t>
            </w:r>
          </w:p>
        </w:tc>
        <w:tc>
          <w:tcPr>
            <w:tcW w:type="dxa" w:w="221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S8 PI/E&amp;O claims-made; defence costs in addition; Excess does not apply to defence costs.</w:t>
            </w:r>
          </w:p>
        </w:tc>
        <w:tc>
          <w:tcPr>
            <w:tcW w:type="dxa" w:w="221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PI-Media claims-made; retroactive date; defence costs in addition.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 — no PI/media section.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 — no PI/media section.</w:t>
            </w:r>
          </w:p>
        </w:tc>
        <w:tc>
          <w:tcPr>
            <w:tcW w:type="dxa" w:w="181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 — no PI/media section.</w:t>
            </w:r>
          </w:p>
        </w:tc>
      </w:tr>
      <w:tr>
        <w:tc>
          <w:tcPr>
            <w:tcW w:type="dxa" w:w="221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Reasonable precautions / cyber-security</w:t>
            </w:r>
          </w:p>
        </w:tc>
        <w:tc>
          <w:tcPr>
            <w:tcW w:type="dxa" w:w="255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S12 imposes detailed computer-security conditions (firewall, AV, password change/60 days, encryption, logging, back-ups) and ‘reasonable steps to avoid loss’.</w:t>
            </w:r>
          </w:p>
        </w:tc>
        <w:tc>
          <w:tcPr>
            <w:tcW w:type="dxa" w:w="221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Loss-of-documents condition requires back-ups at least every 7 days off-site.</w:t>
            </w:r>
          </w:p>
        </w:tc>
        <w:tc>
          <w:tcPr>
            <w:tcW w:type="dxa" w:w="221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Reasonable-precautions and security expectations apply.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General ‘your duties’ / reasonable precautions section.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Reasonable-precautions and maintenance conditions.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Reasonable-precautions / maintenance and duty-of-care conditions.</w:t>
            </w:r>
          </w:p>
        </w:tc>
      </w:tr>
      <w:tr>
        <w:tc>
          <w:tcPr>
            <w:tcW w:type="dxa" w:w="221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Change of control</w:t>
            </w:r>
          </w:p>
        </w:tc>
        <w:tc>
          <w:tcPr>
            <w:tcW w:type="dxa" w:w="255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S12 cover ceases on a change of control unless notified and agreed by endorsement.</w:t>
            </w:r>
          </w:p>
        </w:tc>
        <w:tc>
          <w:tcPr>
            <w:tcW w:type="dxa" w:w="221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Requires review.</w:t>
            </w:r>
          </w:p>
        </w:tc>
        <w:tc>
          <w:tcPr>
            <w:tcW w:type="dxa" w:w="221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Addressed via subsidiary creation/acquisition cover.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 (no PI).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 (no PI).</w:t>
            </w:r>
          </w:p>
        </w:tc>
        <w:tc>
          <w:tcPr>
            <w:tcW w:type="dxa" w:w="181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 (no PI).</w:t>
            </w:r>
          </w:p>
        </w:tc>
      </w:tr>
      <w:tr>
        <w:tc>
          <w:tcPr>
            <w:tcW w:type="dxa" w:w="221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Premium payment</w:t>
            </w:r>
          </w:p>
        </w:tc>
        <w:tc>
          <w:tcPr>
            <w:tcW w:type="dxa" w:w="255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S12 premium payment clause — 60 days, with 15-day cancellation notice.</w:t>
            </w:r>
          </w:p>
        </w:tc>
        <w:tc>
          <w:tcPr>
            <w:tcW w:type="dxa" w:w="221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Per policy/General Conditions.</w:t>
            </w:r>
          </w:p>
        </w:tc>
        <w:tc>
          <w:tcPr>
            <w:tcW w:type="dxa" w:w="221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Premium-adjustment condition with cancellation rights.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Standard cancellation section.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Standard cancellation provisions.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Standard premium / cancellation provisions (Policy Conditions).</w:t>
            </w:r>
          </w:p>
        </w:tc>
      </w:tr>
      <w:tr>
        <w:tc>
          <w:tcPr>
            <w:tcW w:type="dxa" w:w="221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Fair presentation (Insurance Act 2015)</w:t>
            </w:r>
          </w:p>
        </w:tc>
        <w:tc>
          <w:tcPr>
            <w:tcW w:type="dxa" w:w="255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Duty of fair presentation applies (UK).</w:t>
            </w:r>
          </w:p>
        </w:tc>
        <w:tc>
          <w:tcPr>
            <w:tcW w:type="dxa" w:w="221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Duty of fair presentation; Zurich data terms.</w:t>
            </w:r>
          </w:p>
        </w:tc>
        <w:tc>
          <w:tcPr>
            <w:tcW w:type="dxa" w:w="221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Express duty of fair presentation.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‘Your duties’ — fair presentation.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Fair-presentation conditions.</w:t>
            </w:r>
          </w:p>
        </w:tc>
        <w:tc>
          <w:tcPr>
            <w:tcW w:type="dxa" w:w="181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Insurer relies on information provided; fair-presentation basis.</w:t>
            </w:r>
          </w:p>
        </w:tc>
      </w:tr>
      <w:tr>
        <w:tc>
          <w:tcPr>
            <w:tcW w:type="dxa" w:w="221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Defence / dispute resolution</w:t>
            </w:r>
          </w:p>
        </w:tc>
        <w:tc>
          <w:tcPr>
            <w:tcW w:type="dxa" w:w="255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Insurer consent required (CP); general mediation/dispute condition (England &amp; Wales).</w:t>
            </w:r>
          </w:p>
        </w:tc>
        <w:tc>
          <w:tcPr>
            <w:tcW w:type="dxa" w:w="221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Insurer controls defence; consent to settle.</w:t>
            </w:r>
          </w:p>
        </w:tc>
        <w:tc>
          <w:tcPr>
            <w:tcW w:type="dxa" w:w="221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Clear King’s Counsel arbitration clause for defence/settlement disputes — strong drafting.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Insurer conduct-of-claims rights.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Insurer conduct-of-claims rights.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Insurer conduct-of-claims rights.</w:t>
            </w:r>
          </w:p>
        </w:tc>
      </w:tr>
    </w:tbl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EAF1F5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Claims obligations: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TMHCC’s claim-notification is an EXPRESS condition precedent to liability — among the most protective drafting in the peer group, and a point to retain (not soften). Yutree’s King’s Counsel dispute clause is a drafting-clarity advantage TMHCC could adopt.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10  </w:t>
      </w:r>
      <w:r>
        <w:rPr>
          <w:rFonts w:ascii="Lato" w:hAnsi="Lato" w:cs="Lato"/>
          <w:b/>
          <w:i w:val="0"/>
          <w:color w:val="00648B"/>
          <w:sz w:val="30"/>
        </w:rPr>
        <w:t>Limits, sub-limits and excess comparison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Primary limits and excesses are schedule-driven and were not supplied; the table below compares the principal SUB-LIMITS within the Media Liability / PI sections (Liberty, Allianz and AXA XL have no PI section).</w:t>
      </w:r>
    </w:p>
    <w:tbl>
      <w:tblPr>
        <w:tblW w:type="dxa" w:w="14458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2041"/>
        <w:gridCol w:w="2098"/>
        <w:gridCol w:w="2098"/>
        <w:gridCol w:w="1871"/>
        <w:gridCol w:w="1871"/>
        <w:gridCol w:w="1871"/>
      </w:tblGrid>
      <w:tr>
        <w:tc>
          <w:tcPr>
            <w:tcW w:type="dxa" w:w="260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Media / PI sub-limit</w:t>
            </w:r>
          </w:p>
        </w:tc>
        <w:tc>
          <w:tcPr>
            <w:tcW w:type="dxa" w:w="204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209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 (Zurich)</w:t>
            </w:r>
          </w:p>
        </w:tc>
        <w:tc>
          <w:tcPr>
            <w:tcW w:type="dxa" w:w="209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 (AXA)</w:t>
            </w:r>
          </w:p>
        </w:tc>
        <w:tc>
          <w:tcPr>
            <w:tcW w:type="dxa" w:w="187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187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187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AXA XL</w:t>
            </w:r>
          </w:p>
        </w:tc>
      </w:tr>
      <w:tr>
        <w:tc>
          <w:tcPr>
            <w:tcW w:type="dxa" w:w="260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Primary limit of indemnity</w:t>
            </w:r>
          </w:p>
        </w:tc>
        <w:tc>
          <w:tcPr>
            <w:tcW w:type="dxa" w:w="204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Per Schedule</w:t>
            </w:r>
          </w:p>
        </w:tc>
        <w:tc>
          <w:tcPr>
            <w:tcW w:type="dxa" w:w="2098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Per Schedule</w:t>
            </w:r>
          </w:p>
        </w:tc>
        <w:tc>
          <w:tcPr>
            <w:tcW w:type="dxa" w:w="2098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Per Schedule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</w:tr>
      <w:tr>
        <w:tc>
          <w:tcPr>
            <w:tcW w:type="dxa" w:w="260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Virus transmission</w:t>
            </w:r>
          </w:p>
        </w:tc>
        <w:tc>
          <w:tcPr>
            <w:tcW w:type="dxa" w:w="204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GBP 500,000</w:t>
            </w:r>
          </w:p>
        </w:tc>
        <w:tc>
          <w:tcPr>
            <w:tcW w:type="dxa" w:w="2098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GBP 250,000</w:t>
            </w:r>
          </w:p>
        </w:tc>
        <w:tc>
          <w:tcPr>
            <w:tcW w:type="dxa" w:w="2098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Within cyber excl.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</w:tr>
      <w:tr>
        <w:tc>
          <w:tcPr>
            <w:tcW w:type="dxa" w:w="260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Data-protection defence costs</w:t>
            </w:r>
          </w:p>
        </w:tc>
        <w:tc>
          <w:tcPr>
            <w:tcW w:type="dxa" w:w="204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GBP 250,000</w:t>
            </w:r>
          </w:p>
        </w:tc>
        <w:tc>
          <w:tcPr>
            <w:tcW w:type="dxa" w:w="2098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098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Excluded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PL: DP Act 2018 ext.</w:t>
            </w:r>
          </w:p>
        </w:tc>
      </w:tr>
      <w:tr>
        <w:tc>
          <w:tcPr>
            <w:tcW w:type="dxa" w:w="260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Criminal / statutory defence</w:t>
            </w:r>
          </w:p>
        </w:tc>
        <w:tc>
          <w:tcPr>
            <w:tcW w:type="dxa" w:w="204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 (DP only)</w:t>
            </w:r>
          </w:p>
        </w:tc>
        <w:tc>
          <w:tcPr>
            <w:tcW w:type="dxa" w:w="2098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GBP 1,000,000</w:t>
            </w:r>
          </w:p>
        </w:tc>
        <w:tc>
          <w:tcPr>
            <w:tcW w:type="dxa" w:w="2098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GBP 250,000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</w:tr>
      <w:tr>
        <w:tc>
          <w:tcPr>
            <w:tcW w:type="dxa" w:w="260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Reputation management</w:t>
            </w:r>
          </w:p>
        </w:tc>
        <w:tc>
          <w:tcPr>
            <w:tcW w:type="dxa" w:w="204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GBP 250,000</w:t>
            </w:r>
          </w:p>
        </w:tc>
        <w:tc>
          <w:tcPr>
            <w:tcW w:type="dxa" w:w="2098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098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GBP 250,000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</w:tr>
      <w:tr>
        <w:tc>
          <w:tcPr>
            <w:tcW w:type="dxa" w:w="260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Withdrawal of content</w:t>
            </w:r>
          </w:p>
        </w:tc>
        <w:tc>
          <w:tcPr>
            <w:tcW w:type="dxa" w:w="204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GBP 250,000</w:t>
            </w:r>
          </w:p>
        </w:tc>
        <w:tc>
          <w:tcPr>
            <w:tcW w:type="dxa" w:w="2098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098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GBP 250,000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</w:tr>
      <w:tr>
        <w:tc>
          <w:tcPr>
            <w:tcW w:type="dxa" w:w="260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Pursue insured’s own IP</w:t>
            </w:r>
          </w:p>
        </w:tc>
        <w:tc>
          <w:tcPr>
            <w:tcW w:type="dxa" w:w="204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GBP 25,000</w:t>
            </w:r>
          </w:p>
        </w:tc>
        <w:tc>
          <w:tcPr>
            <w:tcW w:type="dxa" w:w="2098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098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Limit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</w:tr>
      <w:tr>
        <w:tc>
          <w:tcPr>
            <w:tcW w:type="dxa" w:w="260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Loss of documents</w:t>
            </w:r>
          </w:p>
        </w:tc>
        <w:tc>
          <w:tcPr>
            <w:tcW w:type="dxa" w:w="204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Per Schedule</w:t>
            </w:r>
          </w:p>
        </w:tc>
        <w:tc>
          <w:tcPr>
            <w:tcW w:type="dxa" w:w="2098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GBP 1,000,000</w:t>
            </w:r>
          </w:p>
        </w:tc>
        <w:tc>
          <w:tcPr>
            <w:tcW w:type="dxa" w:w="2098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Limit (GBP 500 xs)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</w:tr>
      <w:tr>
        <w:tc>
          <w:tcPr>
            <w:tcW w:type="dxa" w:w="260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Representation costs</w:t>
            </w:r>
          </w:p>
        </w:tc>
        <w:tc>
          <w:tcPr>
            <w:tcW w:type="dxa" w:w="204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DP only</w:t>
            </w:r>
          </w:p>
        </w:tc>
        <w:tc>
          <w:tcPr>
            <w:tcW w:type="dxa" w:w="2098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GBP 25,000</w:t>
            </w:r>
          </w:p>
        </w:tc>
        <w:tc>
          <w:tcPr>
            <w:tcW w:type="dxa" w:w="2098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Within crim. defence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</w:tr>
      <w:tr>
        <w:tc>
          <w:tcPr>
            <w:tcW w:type="dxa" w:w="260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Court attendance (per day)</w:t>
            </w:r>
          </w:p>
        </w:tc>
        <w:tc>
          <w:tcPr>
            <w:tcW w:type="dxa" w:w="204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GBP 500 / 250</w:t>
            </w:r>
          </w:p>
        </w:tc>
        <w:tc>
          <w:tcPr>
            <w:tcW w:type="dxa" w:w="2098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GBP 500 / 250 (25k agg)</w:t>
            </w:r>
          </w:p>
        </w:tc>
        <w:tc>
          <w:tcPr>
            <w:tcW w:type="dxa" w:w="2098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Review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</w:tr>
      <w:tr>
        <w:tc>
          <w:tcPr>
            <w:tcW w:type="dxa" w:w="260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Distributors &amp; purchasers</w:t>
            </w:r>
          </w:p>
        </w:tc>
        <w:tc>
          <w:tcPr>
            <w:tcW w:type="dxa" w:w="204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098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5x limit</w:t>
            </w:r>
          </w:p>
        </w:tc>
        <w:tc>
          <w:tcPr>
            <w:tcW w:type="dxa" w:w="2098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  <w:tc>
          <w:tcPr>
            <w:tcW w:type="dxa" w:w="1871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</w:t>
            </w:r>
          </w:p>
        </w:tc>
      </w:tr>
    </w:tbl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EAF1F5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Excess: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TMHCC and the competitors apply a per-claim excess per the Schedule; both Tysers and TMHCC pay defence costs in addition to the limit (Tysers states the excess does not apply to defence costs). Confirm final limits/excesses against each Schedule.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11  </w:t>
      </w:r>
      <w:r>
        <w:rPr>
          <w:rFonts w:ascii="Lato" w:hAnsi="Lato" w:cs="Lato"/>
          <w:b/>
          <w:i w:val="0"/>
          <w:color w:val="00648B"/>
          <w:sz w:val="30"/>
        </w:rPr>
        <w:t>Legal / underwriting review notes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Items flagged ‘requires review’ in the matrices, plus points for TMHCC legal / underwriting sign-off: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Confirm whether TMHCC offers Personal Accident / Business Travel by endorsement (no standalone section identified).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Allianz references a ‘Personal Accident’ section in its exclusions that is not in the provided cover list — confirm against the Allianz schedule.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Confirm communicable-disease exclusion positions in the Yutree, Liberty and Allianz wordings (TMHCC carries a broad exclusion).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Confirm Tysers and Yutree positions on fines/penalties and insolvency exclusions within PI (marked ‘review’).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Confirm Increased Cost of Working / Book Debts and computer-breakdown are expressly addressed within TMHCC S3 and S1/S2 respectively.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Primary limits, excesses and any ‘insured/not insured’ toggles are schedule-driven and must be confirmed against each Schedule.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This comparison is indicative and for broking reference; it is subject to final TMHCC legal / underwriting sign-off before market use.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12  </w:t>
      </w:r>
      <w:r>
        <w:rPr>
          <w:rFonts w:ascii="Lato" w:hAnsi="Lato" w:cs="Lato"/>
          <w:b/>
          <w:i w:val="0"/>
          <w:color w:val="00648B"/>
          <w:sz w:val="30"/>
        </w:rPr>
        <w:t>Appendix — detailed clause mapping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Cross-reference of comparable cover by FUNCTION across the wordings (section names are the actual headings used in each policy).</w:t>
      </w:r>
    </w:p>
    <w:tbl>
      <w:tblPr>
        <w:tblW w:type="dxa" w:w="14232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155"/>
        <w:gridCol w:w="2155"/>
        <w:gridCol w:w="2041"/>
        <w:gridCol w:w="1871"/>
        <w:gridCol w:w="1871"/>
        <w:gridCol w:w="1871"/>
      </w:tblGrid>
      <w:tr>
        <w:tc>
          <w:tcPr>
            <w:tcW w:type="dxa" w:w="226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Cover (by function)</w:t>
            </w:r>
          </w:p>
        </w:tc>
        <w:tc>
          <w:tcPr>
            <w:tcW w:type="dxa" w:w="215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215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 (Zurich)</w:t>
            </w:r>
          </w:p>
        </w:tc>
        <w:tc>
          <w:tcPr>
            <w:tcW w:type="dxa" w:w="204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 (AXA)</w:t>
            </w:r>
          </w:p>
        </w:tc>
        <w:tc>
          <w:tcPr>
            <w:tcW w:type="dxa" w:w="187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187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187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AXA XL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Premises material damage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 Business ‘All Risks’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S2 Property Damage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Property damage – All risks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 Material Damage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 Property Damage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MD: Buildings/Contents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Production / entertainment equipment</w:t>
            </w:r>
          </w:p>
        </w:tc>
        <w:tc>
          <w:tcPr>
            <w:tcW w:type="dxa" w:w="215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S2 Property &amp; Equipment</w:t>
            </w:r>
          </w:p>
        </w:tc>
        <w:tc>
          <w:tcPr>
            <w:tcW w:type="dxa" w:w="215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 Production Property</w:t>
            </w:r>
          </w:p>
        </w:tc>
        <w:tc>
          <w:tcPr>
            <w:tcW w:type="dxa" w:w="204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Production property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Within S1 / Schedule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S6 Specified All Risks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MD: Technical Equipment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Business interruption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S3 Business Interruption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S3 BI ‘All Risks’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BI – All risks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S2 Business Interruption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S2 BI / S2a ICOW / S3 Book Debts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BI Section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Terrorism</w:t>
            </w:r>
          </w:p>
        </w:tc>
        <w:tc>
          <w:tcPr>
            <w:tcW w:type="dxa" w:w="215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S4 Terrorism</w:t>
            </w:r>
          </w:p>
        </w:tc>
        <w:tc>
          <w:tcPr>
            <w:tcW w:type="dxa" w:w="215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Excluded</w:t>
            </w:r>
          </w:p>
        </w:tc>
        <w:tc>
          <w:tcPr>
            <w:tcW w:type="dxa" w:w="204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Terrorism section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S3 Terrorism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Terrorism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Excluded (3.4)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Employers’ liability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S5 Employers’ Liability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S6 Employers’ Liability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Employers liability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S5 Employer’s Liability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S7 Employers’ Liability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7C Employers’ Liability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Public &amp; products liability</w:t>
            </w:r>
          </w:p>
        </w:tc>
        <w:tc>
          <w:tcPr>
            <w:tcW w:type="dxa" w:w="215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S6 Public / S7 Products</w:t>
            </w:r>
          </w:p>
        </w:tc>
        <w:tc>
          <w:tcPr>
            <w:tcW w:type="dxa" w:w="215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S7 Public &amp; Products</w:t>
            </w:r>
          </w:p>
        </w:tc>
        <w:tc>
          <w:tcPr>
            <w:tcW w:type="dxa" w:w="204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Public &amp; products liability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S6 Public &amp; Products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S8 Public &amp; Products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7A Public / 7B Product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Money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S8 Money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S4 Money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Money &amp; PA assault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S4 Money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S4 Money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MD: Money spec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Goods in transit</w:t>
            </w:r>
          </w:p>
        </w:tc>
        <w:tc>
          <w:tcPr>
            <w:tcW w:type="dxa" w:w="215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S9 Goods in Transit</w:t>
            </w:r>
          </w:p>
        </w:tc>
        <w:tc>
          <w:tcPr>
            <w:tcW w:type="dxa" w:w="215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04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Goods in transit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S5 Own Goods in Transit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Loss of licence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S10 Loss of Licence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Production indemnity</w:t>
            </w:r>
          </w:p>
        </w:tc>
        <w:tc>
          <w:tcPr>
            <w:tcW w:type="dxa" w:w="215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S11 Production Indemnity</w:t>
            </w:r>
          </w:p>
        </w:tc>
        <w:tc>
          <w:tcPr>
            <w:tcW w:type="dxa" w:w="215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S5 Multimedia &amp; Producers Indemnity</w:t>
            </w:r>
          </w:p>
        </w:tc>
        <w:tc>
          <w:tcPr>
            <w:tcW w:type="dxa" w:w="204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Production indemnity – All risks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Media liability / PI / E&amp;O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S12 Media Liability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S8 Professional Indemnity/E&amp;O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PI – Media; PI – Events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Legal expenses</w:t>
            </w:r>
          </w:p>
        </w:tc>
        <w:tc>
          <w:tcPr>
            <w:tcW w:type="dxa" w:w="215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S13 Commercial Legal Expenses</w:t>
            </w:r>
          </w:p>
        </w:tc>
        <w:tc>
          <w:tcPr>
            <w:tcW w:type="dxa" w:w="215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04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Management liability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S14 Management Liability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Cyber liability (standalone)</w:t>
            </w:r>
          </w:p>
        </w:tc>
        <w:tc>
          <w:tcPr>
            <w:tcW w:type="dxa" w:w="215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S15 CyberGuard</w:t>
            </w:r>
          </w:p>
        </w:tc>
        <w:tc>
          <w:tcPr>
            <w:tcW w:type="dxa" w:w="215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04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Computer breakdown (first-party)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Excluded (3.7)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Personal accident / travel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15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S9 PA &amp; Business Travel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PA assault (Money/PA)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Referenced – review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Lato" w:hAnsi="Lato" w:cs="Lato"/>
          <w:b w:val="0"/>
          <w:i/>
          <w:color w:val="6C7378"/>
          <w:sz w:val="17"/>
        </w:rPr>
        <w:t>End of Full Coverage Comparison. A companion document — TMHCC Gap-Fill / Wording Enhancement Strategy — sets out the recommended enhancements arising from this comparison.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Lato" w:hAnsi="Lato" w:cs="Lato"/>
        <w:b w:val="0"/>
        <w:i/>
        <w:color w:val="AEB4B8"/>
        <w:sz w:val="13"/>
      </w:rPr>
      <w:t>Indicative wording comparison — broking reference only. Refer to the full policy wordings. Subject to TMHCC legal/underwriting sign-off.</w:t>
    </w:r>
  </w:p>
  <w:p>
    <w:pPr>
      <w:jc w:val="center"/>
    </w:pPr>
    <w:r>
      <w:rPr>
        <w:rFonts w:ascii="Lato" w:hAnsi="Lato" w:cs="Lato"/>
        <w:b w:val="0"/>
        <w:i w:val="0"/>
        <w:color w:val="6C7378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pct" w:w="5000"/>
      <w:jc w:val="center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  <w:tblLook w:firstColumn="1" w:firstRow="1" w:lastColumn="0" w:lastRow="0" w:noHBand="0" w:noVBand="1" w:val="04A0"/>
    </w:tblPr>
    <w:tblGrid>
      <w:gridCol w:w="7569"/>
      <w:gridCol w:w="7569"/>
    </w:tblGrid>
    <w:tr>
      <w:tc>
        <w:tcPr>
          <w:tcW w:type="dxa" w:w="11202"/>
          <w:vAlign w:val="center"/>
        </w:tcPr>
        <w:p>
          <w:pPr>
            <w:spacing w:after="0"/>
          </w:pPr>
          <w:r>
            <w:rPr>
              <w:rFonts w:ascii="Lato" w:hAnsi="Lato" w:cs="Lato"/>
              <w:b/>
              <w:i w:val="0"/>
              <w:color w:val="6C7378"/>
              <w:sz w:val="16"/>
            </w:rPr>
            <w:t>TMHCC Media &amp; Entertainment</w:t>
          </w:r>
        </w:p>
      </w:tc>
      <w:tc>
        <w:tcPr>
          <w:tcW w:type="dxa" w:w="3936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29906" cy="30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hcc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906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ato" w:hAnsi="Lato" w:cs="Lato"/>
      <w:color w:val="2B2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